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spacing w:line="360" w:lineRule="auto"/>
        <w:ind w:firstLine="0" w:firstLineChars="0"/>
        <w:jc w:val="center"/>
        <w:rPr>
          <w:rFonts w:ascii="华文中宋" w:hAnsi="华文中宋" w:eastAsia="华文中宋"/>
          <w:color w:val="000000" w:themeColor="text1"/>
          <w:sz w:val="44"/>
          <w:szCs w:val="44"/>
          <w14:textFill>
            <w14:solidFill>
              <w14:schemeClr w14:val="tx1"/>
            </w14:solidFill>
          </w14:textFill>
        </w:rPr>
      </w:pPr>
    </w:p>
    <w:p>
      <w:pPr>
        <w:spacing w:before="163" w:beforeLines="50" w:line="480" w:lineRule="auto"/>
        <w:ind w:firstLine="0" w:firstLineChars="0"/>
        <w:jc w:val="center"/>
        <w:rPr>
          <w:rFonts w:ascii="方正小标宋简体" w:hAnsi="华文中宋" w:eastAsia="方正小标宋简体"/>
          <w:b/>
          <w:color w:val="000000" w:themeColor="text1"/>
          <w:sz w:val="44"/>
          <w:szCs w:val="44"/>
          <w14:textFill>
            <w14:solidFill>
              <w14:schemeClr w14:val="tx1"/>
            </w14:solidFill>
          </w14:textFill>
        </w:rPr>
      </w:pPr>
      <w:bookmarkStart w:id="273" w:name="_GoBack"/>
      <w:r>
        <w:rPr>
          <w:rFonts w:hint="eastAsia" w:ascii="方正小标宋简体" w:hAnsi="华文中宋" w:eastAsia="方正小标宋简体"/>
          <w:b/>
          <w:color w:val="000000" w:themeColor="text1"/>
          <w:sz w:val="44"/>
          <w:szCs w:val="44"/>
          <w14:textFill>
            <w14:solidFill>
              <w14:schemeClr w14:val="tx1"/>
            </w14:solidFill>
          </w14:textFill>
        </w:rPr>
        <w:t>中国教育监测与评价统计指标体系</w:t>
      </w:r>
    </w:p>
    <w:p>
      <w:pPr>
        <w:ind w:firstLine="0" w:firstLineChars="0"/>
        <w:jc w:val="center"/>
        <w:rPr>
          <w:rFonts w:ascii="方正小标宋简体" w:hAnsi="黑体" w:eastAsia="方正小标宋简体"/>
          <w:b/>
          <w:color w:val="000000" w:themeColor="text1"/>
          <w:sz w:val="44"/>
          <w:szCs w:val="44"/>
          <w14:textFill>
            <w14:solidFill>
              <w14:schemeClr w14:val="tx1"/>
            </w14:solidFill>
          </w14:textFill>
        </w:rPr>
      </w:pPr>
      <w:r>
        <w:rPr>
          <w:rFonts w:hint="eastAsia" w:ascii="方正小标宋简体" w:hAnsi="黑体" w:eastAsia="方正小标宋简体"/>
          <w:b/>
          <w:color w:val="000000" w:themeColor="text1"/>
          <w:sz w:val="44"/>
          <w:szCs w:val="44"/>
          <w14:textFill>
            <w14:solidFill>
              <w14:schemeClr w14:val="tx1"/>
            </w14:solidFill>
          </w14:textFill>
        </w:rPr>
        <w:t>（2020年版）</w:t>
      </w:r>
    </w:p>
    <w:bookmarkEnd w:id="273"/>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黑体" w:hAnsi="黑体" w:eastAsia="黑体"/>
          <w:color w:val="000000" w:themeColor="text1"/>
          <w:sz w:val="32"/>
          <w:szCs w:val="32"/>
          <w14:textFill>
            <w14:solidFill>
              <w14:schemeClr w14:val="tx1"/>
            </w14:solidFill>
          </w14:textFill>
        </w:rPr>
      </w:pPr>
    </w:p>
    <w:p>
      <w:pPr>
        <w:ind w:firstLine="0" w:firstLineChars="0"/>
        <w:jc w:val="center"/>
        <w:rPr>
          <w:rFonts w:ascii="楷体" w:hAnsi="楷体" w:eastAsia="楷体"/>
          <w:b/>
          <w:color w:val="000000" w:themeColor="text1"/>
          <w:sz w:val="36"/>
          <w:szCs w:val="36"/>
          <w14:textFill>
            <w14:solidFill>
              <w14:schemeClr w14:val="tx1"/>
            </w14:solidFill>
          </w14:textFill>
        </w:rPr>
      </w:pPr>
      <w:r>
        <w:rPr>
          <w:rFonts w:hint="eastAsia" w:ascii="楷体" w:hAnsi="楷体" w:eastAsia="楷体"/>
          <w:b/>
          <w:color w:val="000000" w:themeColor="text1"/>
          <w:sz w:val="36"/>
          <w:szCs w:val="36"/>
          <w14:textFill>
            <w14:solidFill>
              <w14:schemeClr w14:val="tx1"/>
            </w14:solidFill>
          </w14:textFill>
        </w:rPr>
        <w:t>教育部</w:t>
      </w:r>
    </w:p>
    <w:p>
      <w:pPr>
        <w:ind w:firstLine="0" w:firstLineChars="0"/>
        <w:jc w:val="center"/>
        <w:rPr>
          <w:rFonts w:ascii="楷体" w:hAnsi="楷体" w:eastAsia="楷体"/>
          <w:b/>
          <w:color w:val="000000" w:themeColor="text1"/>
          <w:sz w:val="36"/>
          <w:szCs w:val="36"/>
          <w14:textFill>
            <w14:solidFill>
              <w14:schemeClr w14:val="tx1"/>
            </w14:solidFill>
          </w14:textFill>
        </w:rPr>
      </w:pPr>
      <w:r>
        <w:rPr>
          <w:rFonts w:eastAsia="楷体"/>
          <w:b/>
          <w:color w:val="000000" w:themeColor="text1"/>
          <w:sz w:val="36"/>
          <w:szCs w:val="36"/>
          <w14:textFill>
            <w14:solidFill>
              <w14:schemeClr w14:val="tx1"/>
            </w14:solidFill>
          </w14:textFill>
        </w:rPr>
        <w:t>2020</w:t>
      </w:r>
      <w:r>
        <w:rPr>
          <w:rFonts w:ascii="楷体" w:hAnsi="楷体" w:eastAsia="楷体"/>
          <w:b/>
          <w:color w:val="000000" w:themeColor="text1"/>
          <w:sz w:val="36"/>
          <w:szCs w:val="36"/>
          <w14:textFill>
            <w14:solidFill>
              <w14:schemeClr w14:val="tx1"/>
            </w14:solidFill>
          </w14:textFill>
        </w:rPr>
        <w:t>年</w:t>
      </w:r>
      <w:r>
        <w:rPr>
          <w:rFonts w:eastAsia="楷体"/>
          <w:b/>
          <w:color w:val="000000" w:themeColor="text1"/>
          <w:sz w:val="36"/>
          <w:szCs w:val="36"/>
          <w14:textFill>
            <w14:solidFill>
              <w14:schemeClr w14:val="tx1"/>
            </w14:solidFill>
          </w14:textFill>
        </w:rPr>
        <w:t>12</w:t>
      </w:r>
      <w:r>
        <w:rPr>
          <w:rFonts w:hint="eastAsia" w:ascii="楷体" w:hAnsi="楷体" w:eastAsia="楷体"/>
          <w:b/>
          <w:color w:val="000000" w:themeColor="text1"/>
          <w:sz w:val="36"/>
          <w:szCs w:val="36"/>
          <w14:textFill>
            <w14:solidFill>
              <w14:schemeClr w14:val="tx1"/>
            </w14:solidFill>
          </w14:textFill>
        </w:rPr>
        <w:t>月</w:t>
      </w: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pPr>
    </w:p>
    <w:p>
      <w:pPr>
        <w:widowControl/>
        <w:spacing w:line="240" w:lineRule="auto"/>
        <w:ind w:firstLine="0" w:firstLineChars="0"/>
        <w:jc w:val="left"/>
        <w:rPr>
          <w:rFonts w:ascii="黑体" w:hAnsi="黑体" w:eastAsia="黑体"/>
          <w:b/>
          <w:bCs/>
          <w:color w:val="000000" w:themeColor="text1"/>
          <w:sz w:val="36"/>
          <w:szCs w:val="36"/>
          <w14:textFill>
            <w14:solidFill>
              <w14:schemeClr w14:val="tx1"/>
            </w14:solidFill>
          </w14:textFill>
        </w:rPr>
      </w:pPr>
      <w:r>
        <w:rPr>
          <w:rFonts w:ascii="黑体" w:hAnsi="黑体" w:eastAsia="黑体"/>
          <w:b/>
          <w:bCs/>
          <w:color w:val="000000" w:themeColor="text1"/>
          <w:sz w:val="36"/>
          <w:szCs w:val="36"/>
          <w14:textFill>
            <w14:solidFill>
              <w14:schemeClr w14:val="tx1"/>
            </w14:solidFill>
          </w14:textFill>
        </w:rPr>
        <w:br w:type="page"/>
      </w: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sectPr>
          <w:headerReference r:id="rId6" w:type="first"/>
          <w:footerReference r:id="rId9" w:type="first"/>
          <w:headerReference r:id="rId4" w:type="default"/>
          <w:footerReference r:id="rId7" w:type="default"/>
          <w:headerReference r:id="rId5" w:type="even"/>
          <w:footerReference r:id="rId8" w:type="even"/>
          <w:endnotePr>
            <w:numFmt w:val="decimal"/>
          </w:endnotePr>
          <w:pgSz w:w="11906" w:h="16838"/>
          <w:pgMar w:top="1701" w:right="1797" w:bottom="1701" w:left="1797" w:header="851" w:footer="992" w:gutter="0"/>
          <w:pgNumType w:fmt="upperRoman" w:start="1"/>
          <w:cols w:space="425" w:num="1"/>
          <w:titlePg/>
          <w:docGrid w:type="lines" w:linePitch="326" w:charSpace="0"/>
        </w:sectPr>
      </w:pP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 xml:space="preserve">引 </w:t>
      </w:r>
      <w:r>
        <w:rPr>
          <w:rFonts w:ascii="黑体" w:hAnsi="黑体" w:eastAsia="黑体"/>
          <w:b/>
          <w:bCs/>
          <w:color w:val="000000" w:themeColor="text1"/>
          <w:sz w:val="36"/>
          <w:szCs w:val="36"/>
          <w14:textFill>
            <w14:solidFill>
              <w14:schemeClr w14:val="tx1"/>
            </w14:solidFill>
          </w14:textFill>
        </w:rPr>
        <w:t xml:space="preserve"> </w:t>
      </w:r>
      <w:r>
        <w:rPr>
          <w:rFonts w:hint="eastAsia" w:ascii="黑体" w:hAnsi="黑体" w:eastAsia="黑体"/>
          <w:b/>
          <w:bCs/>
          <w:color w:val="000000" w:themeColor="text1"/>
          <w:sz w:val="36"/>
          <w:szCs w:val="36"/>
          <w14:textFill>
            <w14:solidFill>
              <w14:schemeClr w14:val="tx1"/>
            </w14:solidFill>
          </w14:textFill>
        </w:rPr>
        <w:t>言</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为深入学习贯彻党的十九大和十九届二中、三中、四中、五中全会精神，全面贯彻落实全国教育大会精神以及《深化新时代教育评价改革总体方案》要求，充分发挥教育统计工作对教育管理、科学决策和服务社会的重要作用，教育部组织专家对2015年发布的《中国教育监测与评价统计指标体系》(以下简称指标体系)进行了修订。修订工作广泛征求了国务院有关部门、各地教育行政部门、有关高等学校、科研机构和专家学者的意见，并根据反馈意见对监测指标进行了进一步完善和测算验证。</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本次修订以推进高质量教育体系建设为导向，更加关注促进全员育人、全过程育人、全方位育人和深化教育评价改革的需要，主动对接联合国2030年可持续发展议程教育目标，在原监测评价指标的基础上，删减了部分陈旧指标，新增思想政治教育、劳动教育、体育美育、家庭教育、终身教育等相关指标。同时，修订了部分指标统计口径和计算方法，进一步明确了指标定义、适用范围和数据来源。</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修订后的指标体系分为5类120项，与修订前的指标体系相比，保留原指标36项，修订整合原指标50项，新增指标34项。修订后的指标体系中，有18项为国际组织的常用教育指标，有18项借鉴了联合国2030年可持续发展议程教育监测评价指标，并结合我国教育事业发展情况进行了适当调整。</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本指标体系可用于指导各级教育行政部门和学校科学开展教育事业发展监测与评价工作。各地可结合本地实际，参照使用。</w:t>
      </w:r>
      <w:r>
        <w:rPr>
          <w:rFonts w:eastAsia="仿宋_GB2312"/>
          <w:color w:val="000000" w:themeColor="text1"/>
          <w:sz w:val="30"/>
          <w:szCs w:val="30"/>
          <w14:textFill>
            <w14:solidFill>
              <w14:schemeClr w14:val="tx1"/>
            </w14:solidFill>
          </w14:textFill>
        </w:rPr>
        <w:br w:type="page"/>
      </w:r>
    </w:p>
    <w:p>
      <w:pPr>
        <w:spacing w:before="163" w:beforeLines="50" w:after="163" w:afterLines="50"/>
        <w:ind w:firstLine="0" w:firstLineChars="0"/>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说  明</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1.指标体系中，依据教育事业统计中的城乡划分类型，农村指镇区（含镇中心区、镇乡结合区、特殊区域）与乡村（含乡中心区、村庄）之和，分城乡中的城市指城区（含主城区、城乡结合部）。</w:t>
      </w:r>
    </w:p>
    <w:p>
      <w:pPr>
        <w:ind w:firstLine="600"/>
        <w:rPr>
          <w:rFonts w:eastAsia="仿宋_GB2312"/>
          <w:color w:val="000000" w:themeColor="text1"/>
          <w:sz w:val="30"/>
          <w:szCs w:val="30"/>
          <w14:textFill>
            <w14:solidFill>
              <w14:schemeClr w14:val="tx1"/>
            </w14:solidFill>
          </w14:textFill>
        </w:rPr>
      </w:pPr>
      <w:r>
        <w:rPr>
          <w:rFonts w:hint="eastAsia" w:eastAsia="仿宋_GB2312"/>
          <w:color w:val="000000" w:themeColor="text1"/>
          <w:sz w:val="30"/>
          <w:szCs w:val="30"/>
          <w14:textFill>
            <w14:solidFill>
              <w14:schemeClr w14:val="tx1"/>
            </w14:solidFill>
          </w14:textFill>
        </w:rPr>
        <w:t>2.指标体系中，若无特殊说明，幼儿园指独立设置幼儿园；小学指普通小学；初中包括普通初中和职业初中；高中阶段包括普通高中、成人高中和中等职业教育（含中等职业学校和技工学校）；中等职业学校指按国家规定设置标准和审批程序批准成立，并在教育行政部门备案的实施中等职业教育的学校（机构），未含技工学校。</w:t>
      </w:r>
    </w:p>
    <w:p>
      <w:pPr>
        <w:ind w:firstLine="600"/>
        <w:rPr>
          <w:rFonts w:eastAsia="仿宋_GB2312"/>
          <w:color w:val="000000" w:themeColor="text1"/>
          <w:sz w:val="30"/>
          <w:szCs w:val="30"/>
          <w14:textFill>
            <w14:solidFill>
              <w14:schemeClr w14:val="tx1"/>
            </w14:solidFill>
          </w14:textFill>
        </w:rPr>
      </w:pPr>
    </w:p>
    <w:p>
      <w:pPr>
        <w:widowControl/>
        <w:spacing w:line="240" w:lineRule="auto"/>
        <w:ind w:firstLine="0" w:firstLineChars="0"/>
        <w:jc w:val="left"/>
        <w:rPr>
          <w:rFonts w:eastAsia="仿宋_GB2312"/>
          <w:color w:val="000000" w:themeColor="text1"/>
          <w:sz w:val="30"/>
          <w:szCs w:val="30"/>
          <w14:textFill>
            <w14:solidFill>
              <w14:schemeClr w14:val="tx1"/>
            </w14:solidFill>
          </w14:textFill>
        </w:rPr>
      </w:pPr>
      <w:r>
        <w:rPr>
          <w:rFonts w:eastAsia="仿宋_GB2312"/>
          <w:color w:val="000000" w:themeColor="text1"/>
          <w:sz w:val="30"/>
          <w:szCs w:val="30"/>
          <w14:textFill>
            <w14:solidFill>
              <w14:schemeClr w14:val="tx1"/>
            </w14:solidFill>
          </w14:textFill>
        </w:rPr>
        <w:br w:type="page"/>
      </w:r>
    </w:p>
    <w:p>
      <w:pPr>
        <w:ind w:firstLine="600"/>
        <w:rPr>
          <w:rFonts w:eastAsia="仿宋_GB2312"/>
          <w:color w:val="000000" w:themeColor="text1"/>
          <w:sz w:val="30"/>
          <w:szCs w:val="30"/>
          <w14:textFill>
            <w14:solidFill>
              <w14:schemeClr w14:val="tx1"/>
            </w14:solidFill>
          </w14:textFill>
        </w:rPr>
      </w:pPr>
    </w:p>
    <w:p>
      <w:pPr>
        <w:rPr>
          <w:color w:val="000000" w:themeColor="text1"/>
          <w14:textFill>
            <w14:solidFill>
              <w14:schemeClr w14:val="tx1"/>
            </w14:solidFill>
          </w14:textFill>
        </w:rPr>
        <w:sectPr>
          <w:footerReference r:id="rId11" w:type="first"/>
          <w:footerReference r:id="rId10" w:type="default"/>
          <w:endnotePr>
            <w:numFmt w:val="decimal"/>
          </w:endnotePr>
          <w:pgSz w:w="11906" w:h="16838"/>
          <w:pgMar w:top="1701" w:right="1797" w:bottom="1701" w:left="1797" w:header="851" w:footer="992" w:gutter="0"/>
          <w:pgNumType w:start="1"/>
          <w:cols w:space="425" w:num="1"/>
          <w:titlePg/>
          <w:docGrid w:type="lines" w:linePitch="326" w:charSpace="0"/>
        </w:sectPr>
      </w:pPr>
    </w:p>
    <w:sdt>
      <w:sdtPr>
        <w:rPr>
          <w:rFonts w:ascii="Arial" w:hAnsi="Arial" w:eastAsia="宋体" w:cs="Times New Roman"/>
          <w:color w:val="000000" w:themeColor="text1"/>
          <w:sz w:val="24"/>
          <w:szCs w:val="24"/>
          <w:lang w:val="zh-CN"/>
          <w14:textFill>
            <w14:solidFill>
              <w14:schemeClr w14:val="tx1"/>
            </w14:solidFill>
          </w14:textFill>
        </w:rPr>
        <w:id w:val="96145884"/>
        <w:docPartObj>
          <w:docPartGallery w:val="Table of Contents"/>
          <w:docPartUnique/>
        </w:docPartObj>
      </w:sdtPr>
      <w:sdtEndPr>
        <w:rPr>
          <w:rFonts w:ascii="Times New Roman" w:hAnsi="Times New Roman" w:eastAsia="宋体" w:cs="Times New Roman"/>
          <w:color w:val="000000" w:themeColor="text1"/>
          <w:sz w:val="24"/>
          <w:szCs w:val="24"/>
          <w:lang w:val="zh-CN"/>
          <w14:textFill>
            <w14:solidFill>
              <w14:schemeClr w14:val="tx1"/>
            </w14:solidFill>
          </w14:textFill>
        </w:rPr>
      </w:sdtEndPr>
      <w:sdtContent>
        <w:p>
          <w:pPr>
            <w:pStyle w:val="47"/>
            <w:spacing w:before="0"/>
            <w:jc w:val="center"/>
            <w:rPr>
              <w:rFonts w:ascii="黑体" w:hAnsi="黑体" w:eastAsia="黑体" w:cs="Times New Roman"/>
              <w:b/>
              <w:bCs/>
              <w:color w:val="000000" w:themeColor="text1"/>
              <w:sz w:val="36"/>
              <w:szCs w:val="36"/>
              <w14:textFill>
                <w14:solidFill>
                  <w14:schemeClr w14:val="tx1"/>
                </w14:solidFill>
              </w14:textFill>
            </w:rPr>
          </w:pPr>
          <w:bookmarkStart w:id="0" w:name="_Hlk22899277"/>
          <w:r>
            <w:rPr>
              <w:rFonts w:ascii="黑体" w:hAnsi="黑体" w:eastAsia="黑体" w:cs="Times New Roman"/>
              <w:b/>
              <w:bCs/>
              <w:color w:val="000000" w:themeColor="text1"/>
              <w:sz w:val="36"/>
              <w:szCs w:val="36"/>
              <w14:textFill>
                <w14:solidFill>
                  <w14:schemeClr w14:val="tx1"/>
                </w14:solidFill>
              </w14:textFill>
            </w:rPr>
            <w:t>目   录</w:t>
          </w:r>
          <w:bookmarkEnd w:id="0"/>
        </w:p>
        <w:p>
          <w:pPr>
            <w:pStyle w:val="19"/>
            <w:rPr>
              <w:rFonts w:asciiTheme="minorHAnsi" w:hAnsiTheme="minorHAnsi" w:eastAsiaTheme="minorEastAsia" w:cstheme="minorBidi"/>
              <w:b w:val="0"/>
              <w:kern w:val="2"/>
              <w:sz w:val="21"/>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"_Toc59961101" </w:instrText>
          </w:r>
          <w:r>
            <w:fldChar w:fldCharType="separate"/>
          </w:r>
          <w:r>
            <w:rPr>
              <w:rStyle w:val="34"/>
            </w:rPr>
            <w:t>一、综合教育程度</w:t>
          </w:r>
          <w:r>
            <w:tab/>
          </w:r>
          <w:r>
            <w:fldChar w:fldCharType="begin"/>
          </w:r>
          <w:r>
            <w:instrText xml:space="preserve"> PAGEREF _Toc59961101 \h </w:instrText>
          </w:r>
          <w:r>
            <w:fldChar w:fldCharType="separate"/>
          </w:r>
          <w:r>
            <w:t>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"_Toc59961102" </w:instrText>
          </w:r>
          <w:r>
            <w:fldChar w:fldCharType="separate"/>
          </w:r>
          <w:r>
            <w:rPr>
              <w:rStyle w:val="34"/>
            </w:rPr>
            <w:t>1. 国家财政性教育经费占国内生产总值比例（%）</w:t>
          </w:r>
          <w:r>
            <w:tab/>
          </w:r>
          <w:r>
            <w:fldChar w:fldCharType="begin"/>
          </w:r>
          <w:r>
            <w:instrText xml:space="preserve"> PAGEREF _Toc59961102 \h </w:instrText>
          </w:r>
          <w:r>
            <w:fldChar w:fldCharType="separate"/>
          </w:r>
          <w:r>
            <w:t>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"_Toc59961103" </w:instrText>
          </w:r>
          <w:r>
            <w:fldChar w:fldCharType="separate"/>
          </w:r>
          <w:r>
            <w:rPr>
              <w:rStyle w:val="34"/>
            </w:rPr>
            <w:t>2. 人口平均受教育年限（年）</w:t>
          </w:r>
          <w:r>
            <w:tab/>
          </w:r>
          <w:r>
            <w:fldChar w:fldCharType="begin"/>
          </w:r>
          <w:r>
            <w:instrText xml:space="preserve"> PAGEREF _Toc59961103 \h </w:instrText>
          </w:r>
          <w:r>
            <w:fldChar w:fldCharType="separate"/>
          </w:r>
          <w:r>
            <w:t>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"_Toc59961104" </w:instrText>
          </w:r>
          <w:r>
            <w:fldChar w:fldCharType="separate"/>
          </w:r>
          <w:r>
            <w:rPr>
              <w:rStyle w:val="34"/>
            </w:rPr>
            <w:t>3. 人口受教育程度分布比例（%）</w:t>
          </w:r>
          <w:r>
            <w:tab/>
          </w:r>
          <w:r>
            <w:fldChar w:fldCharType="begin"/>
          </w:r>
          <w:r>
            <w:instrText xml:space="preserve"> PAGEREF _Toc59961104 \h </w:instrText>
          </w:r>
          <w:r>
            <w:fldChar w:fldCharType="separate"/>
          </w:r>
          <w:r>
            <w:t>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"_Toc59961105" </w:instrText>
          </w:r>
          <w:r>
            <w:fldChar w:fldCharType="separate"/>
          </w:r>
          <w:r>
            <w:rPr>
              <w:rStyle w:val="34"/>
            </w:rPr>
            <w:t>4. 中小学教育完成率（%）</w:t>
          </w:r>
          <w:r>
            <w:tab/>
          </w:r>
          <w:r>
            <w:fldChar w:fldCharType="begin"/>
          </w:r>
          <w:r>
            <w:instrText xml:space="preserve"> PAGEREF _Toc59961105 \h </w:instrText>
          </w:r>
          <w:r>
            <w:fldChar w:fldCharType="separate"/>
          </w:r>
          <w:r>
            <w:t>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"_Toc59961106" </w:instrText>
          </w:r>
          <w:r>
            <w:fldChar w:fldCharType="separate"/>
          </w:r>
          <w:r>
            <w:rPr>
              <w:rStyle w:val="34"/>
            </w:rPr>
            <w:t>5. 每十万人口各级教育平均在校生数（人）</w:t>
          </w:r>
          <w:r>
            <w:tab/>
          </w:r>
          <w:r>
            <w:fldChar w:fldCharType="begin"/>
          </w:r>
          <w:r>
            <w:instrText xml:space="preserve"> PAGEREF _Toc59961106 \h </w:instrText>
          </w:r>
          <w:r>
            <w:fldChar w:fldCharType="separate"/>
          </w:r>
          <w:r>
            <w:t>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"_Toc59961107" </w:instrText>
          </w:r>
          <w:r>
            <w:fldChar w:fldCharType="separate"/>
          </w:r>
          <w:r>
            <w:rPr>
              <w:rStyle w:val="34"/>
            </w:rPr>
            <w:t>6. 各级各类学校（机构）举办的培训规模（人次）</w:t>
          </w:r>
          <w:r>
            <w:tab/>
          </w:r>
          <w:r>
            <w:fldChar w:fldCharType="begin"/>
          </w:r>
          <w:r>
            <w:instrText xml:space="preserve"> PAGEREF _Toc59961107 \h </w:instrText>
          </w:r>
          <w:r>
            <w:fldChar w:fldCharType="separate"/>
          </w:r>
          <w:r>
            <w:t>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"_Toc59961108" </w:instrText>
          </w:r>
          <w:r>
            <w:fldChar w:fldCharType="separate"/>
          </w:r>
          <w:r>
            <w:rPr>
              <w:rStyle w:val="34"/>
            </w:rPr>
            <w:t>7. 从业人员继续教育参与率（%）</w:t>
          </w:r>
          <w:r>
            <w:tab/>
          </w:r>
          <w:r>
            <w:fldChar w:fldCharType="begin"/>
          </w:r>
          <w:r>
            <w:instrText xml:space="preserve"> PAGEREF _Toc59961108 \h </w:instrText>
          </w:r>
          <w:r>
            <w:fldChar w:fldCharType="separate"/>
          </w:r>
          <w:r>
            <w:t>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"_Toc59961109" </w:instrText>
          </w:r>
          <w:r>
            <w:fldChar w:fldCharType="separate"/>
          </w:r>
          <w:r>
            <w:rPr>
              <w:rStyle w:val="34"/>
            </w:rPr>
            <w:t>8. 经常性参与教育活动的老年人占比（%）</w:t>
          </w:r>
          <w:r>
            <w:tab/>
          </w:r>
          <w:r>
            <w:fldChar w:fldCharType="begin"/>
          </w:r>
          <w:r>
            <w:instrText xml:space="preserve"> PAGEREF _Toc59961109 \h </w:instrText>
          </w:r>
          <w:r>
            <w:fldChar w:fldCharType="separate"/>
          </w:r>
          <w:r>
            <w:t>6</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"_Toc59961110" </w:instrText>
          </w:r>
          <w:r>
            <w:fldChar w:fldCharType="separate"/>
          </w:r>
          <w:r>
            <w:rPr>
              <w:rStyle w:val="34"/>
            </w:rPr>
            <w:t>二、国民接受学校教育状况</w:t>
          </w:r>
          <w:r>
            <w:tab/>
          </w:r>
          <w:r>
            <w:fldChar w:fldCharType="begin"/>
          </w:r>
          <w:r>
            <w:instrText xml:space="preserve"> PAGEREF _Toc59961110 \h </w:instrText>
          </w:r>
          <w:r>
            <w:fldChar w:fldCharType="separate"/>
          </w:r>
          <w:r>
            <w:t>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"_Toc59961111" </w:instrText>
          </w:r>
          <w:r>
            <w:fldChar w:fldCharType="separate"/>
          </w:r>
          <w:r>
            <w:rPr>
              <w:rStyle w:val="34"/>
            </w:rPr>
            <w:t>9. 学前教育毛入园率（%）</w:t>
          </w:r>
          <w:r>
            <w:tab/>
          </w:r>
          <w:r>
            <w:fldChar w:fldCharType="begin"/>
          </w:r>
          <w:r>
            <w:instrText xml:space="preserve"> PAGEREF _Toc59961111 \h </w:instrText>
          </w:r>
          <w:r>
            <w:fldChar w:fldCharType="separate"/>
          </w:r>
          <w:r>
            <w:t>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"_Toc59961112" </w:instrText>
          </w:r>
          <w:r>
            <w:fldChar w:fldCharType="separate"/>
          </w:r>
          <w:r>
            <w:rPr>
              <w:rStyle w:val="34"/>
            </w:rPr>
            <w:t>10. 普惠性幼儿园覆盖率（%）</w:t>
          </w:r>
          <w:r>
            <w:tab/>
          </w:r>
          <w:r>
            <w:fldChar w:fldCharType="begin"/>
          </w:r>
          <w:r>
            <w:instrText xml:space="preserve"> PAGEREF _Toc59961112 \h </w:instrText>
          </w:r>
          <w:r>
            <w:fldChar w:fldCharType="separate"/>
          </w:r>
          <w:r>
            <w:t>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"_Toc59961113" </w:instrText>
          </w:r>
          <w:r>
            <w:fldChar w:fldCharType="separate"/>
          </w:r>
          <w:r>
            <w:rPr>
              <w:rStyle w:val="34"/>
            </w:rPr>
            <w:t>11. 小学招生中接受过学前教育的比例（%）</w:t>
          </w:r>
          <w:r>
            <w:tab/>
          </w:r>
          <w:r>
            <w:fldChar w:fldCharType="begin"/>
          </w:r>
          <w:r>
            <w:instrText xml:space="preserve"> PAGEREF _Toc59961113 \h </w:instrText>
          </w:r>
          <w:r>
            <w:fldChar w:fldCharType="separate"/>
          </w:r>
          <w:r>
            <w:t>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"_Toc59961114" </w:instrText>
          </w:r>
          <w:r>
            <w:fldChar w:fldCharType="separate"/>
          </w:r>
          <w:r>
            <w:rPr>
              <w:rStyle w:val="34"/>
            </w:rPr>
            <w:t>12. 净入学率（%）</w:t>
          </w:r>
          <w:r>
            <w:tab/>
          </w:r>
          <w:r>
            <w:fldChar w:fldCharType="begin"/>
          </w:r>
          <w:r>
            <w:instrText xml:space="preserve"> PAGEREF _Toc59961114 \h </w:instrText>
          </w:r>
          <w:r>
            <w:fldChar w:fldCharType="separate"/>
          </w:r>
          <w:r>
            <w:t>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"_Toc59961115" </w:instrText>
          </w:r>
          <w:r>
            <w:fldChar w:fldCharType="separate"/>
          </w:r>
          <w:r>
            <w:rPr>
              <w:rStyle w:val="34"/>
            </w:rPr>
            <w:t>13. 毛入学率（%）</w:t>
          </w:r>
          <w:r>
            <w:tab/>
          </w:r>
          <w:r>
            <w:fldChar w:fldCharType="begin"/>
          </w:r>
          <w:r>
            <w:instrText xml:space="preserve"> PAGEREF _Toc59961115 \h </w:instrText>
          </w:r>
          <w:r>
            <w:fldChar w:fldCharType="separate"/>
          </w:r>
          <w:r>
            <w:t>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"_Toc59961116" </w:instrText>
          </w:r>
          <w:r>
            <w:fldChar w:fldCharType="separate"/>
          </w:r>
          <w:r>
            <w:rPr>
              <w:rStyle w:val="34"/>
            </w:rPr>
            <w:t>14. 义务教育巩固率（%）</w:t>
          </w:r>
          <w:r>
            <w:tab/>
          </w:r>
          <w:r>
            <w:fldChar w:fldCharType="begin"/>
          </w:r>
          <w:r>
            <w:instrText xml:space="preserve"> PAGEREF _Toc59961116 \h </w:instrText>
          </w:r>
          <w:r>
            <w:fldChar w:fldCharType="separate"/>
          </w:r>
          <w:r>
            <w:t>10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"_Toc59961117" </w:instrText>
          </w:r>
          <w:r>
            <w:fldChar w:fldCharType="separate"/>
          </w:r>
          <w:r>
            <w:rPr>
              <w:rStyle w:val="34"/>
            </w:rPr>
            <w:t>15. 幼儿园、中（小）学平均班额（人/班）</w:t>
          </w:r>
          <w:r>
            <w:tab/>
          </w:r>
          <w:r>
            <w:fldChar w:fldCharType="begin"/>
          </w:r>
          <w:r>
            <w:instrText xml:space="preserve"> PAGEREF _Toc59961117 \h </w:instrText>
          </w:r>
          <w:r>
            <w:fldChar w:fldCharType="separate"/>
          </w:r>
          <w:r>
            <w:t>10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"_Toc59961118" </w:instrText>
          </w:r>
          <w:r>
            <w:fldChar w:fldCharType="separate"/>
          </w:r>
          <w:r>
            <w:rPr>
              <w:rStyle w:val="34"/>
            </w:rPr>
            <w:t>16. 中（小）学小班额班比例（%）</w:t>
          </w:r>
          <w:r>
            <w:tab/>
          </w:r>
          <w:r>
            <w:fldChar w:fldCharType="begin"/>
          </w:r>
          <w:r>
            <w:instrText xml:space="preserve"> PAGEREF _Toc59961118 \h </w:instrText>
          </w:r>
          <w:r>
            <w:fldChar w:fldCharType="separate"/>
          </w:r>
          <w:r>
            <w:t>11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"_Toc59961119" </w:instrText>
          </w:r>
          <w:r>
            <w:fldChar w:fldCharType="separate"/>
          </w:r>
          <w:r>
            <w:rPr>
              <w:rStyle w:val="34"/>
            </w:rPr>
            <w:t>17. 中（小）学大班额班比例（%）</w:t>
          </w:r>
          <w:r>
            <w:tab/>
          </w:r>
          <w:r>
            <w:fldChar w:fldCharType="begin"/>
          </w:r>
          <w:r>
            <w:instrText xml:space="preserve"> PAGEREF _Toc59961119 \h </w:instrText>
          </w:r>
          <w:r>
            <w:fldChar w:fldCharType="separate"/>
          </w:r>
          <w:r>
            <w:t>12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"_Toc59961120" </w:instrText>
          </w:r>
          <w:r>
            <w:fldChar w:fldCharType="separate"/>
          </w:r>
          <w:r>
            <w:rPr>
              <w:rStyle w:val="34"/>
            </w:rPr>
            <w:t>18. 义务教育阶段农村学校在校生中寄宿生所占比例（%）</w:t>
          </w:r>
          <w:r>
            <w:tab/>
          </w:r>
          <w:r>
            <w:fldChar w:fldCharType="begin"/>
          </w:r>
          <w:r>
            <w:instrText xml:space="preserve"> PAGEREF _Toc59961120 \h </w:instrText>
          </w:r>
          <w:r>
            <w:fldChar w:fldCharType="separate"/>
          </w:r>
          <w:r>
            <w:t>12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"_Toc59961121" </w:instrText>
          </w:r>
          <w:r>
            <w:fldChar w:fldCharType="separate"/>
          </w:r>
          <w:r>
            <w:rPr>
              <w:rStyle w:val="34"/>
            </w:rPr>
            <w:t>19. 义务教育阶段农村学校在校生中留守儿童所占比例（%）</w:t>
          </w:r>
          <w:r>
            <w:tab/>
          </w:r>
          <w:r>
            <w:fldChar w:fldCharType="begin"/>
          </w:r>
          <w:r>
            <w:instrText xml:space="preserve"> PAGEREF _Toc59961121 \h </w:instrText>
          </w:r>
          <w:r>
            <w:fldChar w:fldCharType="separate"/>
          </w:r>
          <w:r>
            <w:t>13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"_Toc59961122" </w:instrText>
          </w:r>
          <w:r>
            <w:fldChar w:fldCharType="separate"/>
          </w:r>
          <w:r>
            <w:rPr>
              <w:rStyle w:val="34"/>
            </w:rPr>
            <w:t>20. 义务教育阶段在校生中随迁子女所占比例（%）</w:t>
          </w:r>
          <w:r>
            <w:tab/>
          </w:r>
          <w:r>
            <w:fldChar w:fldCharType="begin"/>
          </w:r>
          <w:r>
            <w:instrText xml:space="preserve"> PAGEREF _Toc59961122 \h </w:instrText>
          </w:r>
          <w:r>
            <w:fldChar w:fldCharType="separate"/>
          </w:r>
          <w:r>
            <w:t>13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"_Toc59961123" </w:instrText>
          </w:r>
          <w:r>
            <w:fldChar w:fldCharType="separate"/>
          </w:r>
          <w:r>
            <w:rPr>
              <w:rStyle w:val="34"/>
            </w:rPr>
            <w:t>21. 义务教育阶段随迁子女在公办学校就读的比例（%）</w:t>
          </w:r>
          <w:r>
            <w:tab/>
          </w:r>
          <w:r>
            <w:fldChar w:fldCharType="begin"/>
          </w:r>
          <w:r>
            <w:instrText xml:space="preserve"> PAGEREF _Toc59961123 \h </w:instrText>
          </w:r>
          <w:r>
            <w:fldChar w:fldCharType="separate"/>
          </w:r>
          <w:r>
            <w:t>14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"_Toc59961124" </w:instrText>
          </w:r>
          <w:r>
            <w:fldChar w:fldCharType="separate"/>
          </w:r>
          <w:r>
            <w:rPr>
              <w:rStyle w:val="34"/>
            </w:rPr>
            <w:t>22. 残疾儿童少年义务教育阶段入学率（%）</w:t>
          </w:r>
          <w:r>
            <w:tab/>
          </w:r>
          <w:r>
            <w:fldChar w:fldCharType="begin"/>
          </w:r>
          <w:r>
            <w:instrText xml:space="preserve"> PAGEREF _Toc59961124 \h </w:instrText>
          </w:r>
          <w:r>
            <w:fldChar w:fldCharType="separate"/>
          </w:r>
          <w:r>
            <w:t>15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"_Toc59961125" </w:instrText>
          </w:r>
          <w:r>
            <w:fldChar w:fldCharType="separate"/>
          </w:r>
          <w:r>
            <w:rPr>
              <w:rStyle w:val="34"/>
            </w:rPr>
            <w:t>23. 义务教育阶段随班就读和在普通学校附设特教班学习的残疾人比例（%）</w:t>
          </w:r>
          <w:r>
            <w:tab/>
          </w:r>
          <w:r>
            <w:fldChar w:fldCharType="begin"/>
          </w:r>
          <w:r>
            <w:instrText xml:space="preserve"> PAGEREF _Toc59961125 \h </w:instrText>
          </w:r>
          <w:r>
            <w:fldChar w:fldCharType="separate"/>
          </w:r>
          <w:r>
            <w:t>16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"_Toc59961126" </w:instrText>
          </w:r>
          <w:r>
            <w:fldChar w:fldCharType="separate"/>
          </w:r>
          <w:r>
            <w:rPr>
              <w:rStyle w:val="34"/>
            </w:rPr>
            <w:t>24. 除少数民族语文外其他学科均采用国家通用语言文字授课的少数民族学生比例（%）</w:t>
          </w:r>
          <w:r>
            <w:tab/>
          </w:r>
          <w:r>
            <w:fldChar w:fldCharType="begin"/>
          </w:r>
          <w:r>
            <w:instrText xml:space="preserve"> PAGEREF _Toc59961126 \h </w:instrText>
          </w:r>
          <w:r>
            <w:fldChar w:fldCharType="separate"/>
          </w:r>
          <w:r>
            <w:t>16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"_Toc59961127" </w:instrText>
          </w:r>
          <w:r>
            <w:fldChar w:fldCharType="separate"/>
          </w:r>
          <w:r>
            <w:rPr>
              <w:rStyle w:val="34"/>
            </w:rPr>
            <w:t>25. 普通高中与中等职业教育招生比</w:t>
          </w:r>
          <w:r>
            <w:tab/>
          </w:r>
          <w:r>
            <w:fldChar w:fldCharType="begin"/>
          </w:r>
          <w:r>
            <w:instrText xml:space="preserve"> PAGEREF _Toc59961127 \h </w:instrText>
          </w:r>
          <w:r>
            <w:fldChar w:fldCharType="separate"/>
          </w:r>
          <w:r>
            <w:t>17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"_Toc59961128" </w:instrText>
          </w:r>
          <w:r>
            <w:fldChar w:fldCharType="separate"/>
          </w:r>
          <w:r>
            <w:rPr>
              <w:rStyle w:val="34"/>
            </w:rPr>
            <w:t>26. 普通高中与中等职业教育在校生比</w:t>
          </w:r>
          <w:r>
            <w:tab/>
          </w:r>
          <w:r>
            <w:fldChar w:fldCharType="begin"/>
          </w:r>
          <w:r>
            <w:instrText xml:space="preserve"> PAGEREF _Toc59961128 \h </w:instrText>
          </w:r>
          <w:r>
            <w:fldChar w:fldCharType="separate"/>
          </w:r>
          <w:r>
            <w:t>18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"_Toc59961129" </w:instrText>
          </w:r>
          <w:r>
            <w:fldChar w:fldCharType="separate"/>
          </w:r>
          <w:r>
            <w:rPr>
              <w:rStyle w:val="34"/>
            </w:rPr>
            <w:t>27. 成立家长委员会的学校比例（%）</w:t>
          </w:r>
          <w:r>
            <w:tab/>
          </w:r>
          <w:r>
            <w:fldChar w:fldCharType="begin"/>
          </w:r>
          <w:r>
            <w:instrText xml:space="preserve"> PAGEREF _Toc59961129 \h </w:instrText>
          </w:r>
          <w:r>
            <w:fldChar w:fldCharType="separate"/>
          </w:r>
          <w:r>
            <w:t>18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"_Toc59961130" </w:instrText>
          </w:r>
          <w:r>
            <w:fldChar w:fldCharType="separate"/>
          </w:r>
          <w:r>
            <w:rPr>
              <w:rStyle w:val="34"/>
            </w:rPr>
            <w:t>28. 义务教育阶段学生学业水平达到II级及以上的比例（%）</w:t>
          </w:r>
          <w:r>
            <w:tab/>
          </w:r>
          <w:r>
            <w:fldChar w:fldCharType="begin"/>
          </w:r>
          <w:r>
            <w:instrText xml:space="preserve"> PAGEREF _Toc59961130 \h </w:instrText>
          </w:r>
          <w:r>
            <w:fldChar w:fldCharType="separate"/>
          </w:r>
          <w:r>
            <w:t>18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"_Toc59961131" </w:instrText>
          </w:r>
          <w:r>
            <w:fldChar w:fldCharType="separate"/>
          </w:r>
          <w:r>
            <w:rPr>
              <w:rStyle w:val="34"/>
            </w:rPr>
            <w:t>29. 学生信息素养达标率（%）</w:t>
          </w:r>
          <w:r>
            <w:tab/>
          </w:r>
          <w:r>
            <w:fldChar w:fldCharType="begin"/>
          </w:r>
          <w:r>
            <w:instrText xml:space="preserve"> PAGEREF _Toc59961131 \h </w:instrText>
          </w:r>
          <w:r>
            <w:fldChar w:fldCharType="separate"/>
          </w:r>
          <w:r>
            <w:t>19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"_Toc59961132" </w:instrText>
          </w:r>
          <w:r>
            <w:fldChar w:fldCharType="separate"/>
          </w:r>
          <w:r>
            <w:rPr>
              <w:rStyle w:val="34"/>
            </w:rPr>
            <w:t>30. 学生体质健康达标率（%）</w:t>
          </w:r>
          <w:r>
            <w:tab/>
          </w:r>
          <w:r>
            <w:fldChar w:fldCharType="begin"/>
          </w:r>
          <w:r>
            <w:instrText xml:space="preserve"> PAGEREF _Toc59961132 \h </w:instrText>
          </w:r>
          <w:r>
            <w:fldChar w:fldCharType="separate"/>
          </w:r>
          <w:r>
            <w:t>20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"_Toc59961133" </w:instrText>
          </w:r>
          <w:r>
            <w:fldChar w:fldCharType="separate"/>
          </w:r>
          <w:r>
            <w:rPr>
              <w:rStyle w:val="34"/>
            </w:rPr>
            <w:t>31. 学生肥胖率（%）</w:t>
          </w:r>
          <w:r>
            <w:tab/>
          </w:r>
          <w:r>
            <w:fldChar w:fldCharType="begin"/>
          </w:r>
          <w:r>
            <w:instrText xml:space="preserve"> PAGEREF _Toc59961133 \h </w:instrText>
          </w:r>
          <w:r>
            <w:fldChar w:fldCharType="separate"/>
          </w:r>
          <w:r>
            <w:t>21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"_Toc59961134" </w:instrText>
          </w:r>
          <w:r>
            <w:fldChar w:fldCharType="separate"/>
          </w:r>
          <w:r>
            <w:rPr>
              <w:rStyle w:val="34"/>
            </w:rPr>
            <w:t>32. 学生视力不良率（%）</w:t>
          </w:r>
          <w:r>
            <w:tab/>
          </w:r>
          <w:r>
            <w:fldChar w:fldCharType="begin"/>
          </w:r>
          <w:r>
            <w:instrText xml:space="preserve"> PAGEREF _Toc59961134 \h </w:instrText>
          </w:r>
          <w:r>
            <w:fldChar w:fldCharType="separate"/>
          </w:r>
          <w:r>
            <w:t>22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"_Toc59961135" </w:instrText>
          </w:r>
          <w:r>
            <w:fldChar w:fldCharType="separate"/>
          </w:r>
          <w:r>
            <w:rPr>
              <w:rStyle w:val="34"/>
            </w:rPr>
            <w:t>33. 年生均校外实训基地实习时间（天/生）</w:t>
          </w:r>
          <w:r>
            <w:tab/>
          </w:r>
          <w:r>
            <w:fldChar w:fldCharType="begin"/>
          </w:r>
          <w:r>
            <w:instrText xml:space="preserve"> PAGEREF _Toc59961135 \h </w:instrText>
          </w:r>
          <w:r>
            <w:fldChar w:fldCharType="separate"/>
          </w:r>
          <w:r>
            <w:t>23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"_Toc59961136" </w:instrText>
          </w:r>
          <w:r>
            <w:fldChar w:fldCharType="separate"/>
          </w:r>
          <w:r>
            <w:rPr>
              <w:rStyle w:val="34"/>
            </w:rPr>
            <w:t>34. 毕业生职业资格或职业技能等级证书获取率（%）</w:t>
          </w:r>
          <w:r>
            <w:tab/>
          </w:r>
          <w:r>
            <w:fldChar w:fldCharType="begin"/>
          </w:r>
          <w:r>
            <w:instrText xml:space="preserve"> PAGEREF _Toc59961136 \h </w:instrText>
          </w:r>
          <w:r>
            <w:fldChar w:fldCharType="separate"/>
          </w:r>
          <w:r>
            <w:t>23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"_Toc59961137" </w:instrText>
          </w:r>
          <w:r>
            <w:fldChar w:fldCharType="separate"/>
          </w:r>
          <w:r>
            <w:rPr>
              <w:rStyle w:val="34"/>
            </w:rPr>
            <w:t>35. 毕业生就业率（%）</w:t>
          </w:r>
          <w:r>
            <w:tab/>
          </w:r>
          <w:r>
            <w:fldChar w:fldCharType="begin"/>
          </w:r>
          <w:r>
            <w:instrText xml:space="preserve"> PAGEREF _Toc59961137 \h </w:instrText>
          </w:r>
          <w:r>
            <w:fldChar w:fldCharType="separate"/>
          </w:r>
          <w:r>
            <w:t>24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"_Toc59961138" </w:instrText>
          </w:r>
          <w:r>
            <w:fldChar w:fldCharType="separate"/>
          </w:r>
          <w:r>
            <w:rPr>
              <w:rStyle w:val="34"/>
            </w:rPr>
            <w:t>36. 民办教育在校生所占比例（%）</w:t>
          </w:r>
          <w:r>
            <w:tab/>
          </w:r>
          <w:r>
            <w:fldChar w:fldCharType="begin"/>
          </w:r>
          <w:r>
            <w:instrText xml:space="preserve"> PAGEREF _Toc59961138 \h </w:instrText>
          </w:r>
          <w:r>
            <w:fldChar w:fldCharType="separate"/>
          </w:r>
          <w:r>
            <w:t>25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"_Toc59961139" </w:instrText>
          </w:r>
          <w:r>
            <w:fldChar w:fldCharType="separate"/>
          </w:r>
          <w:r>
            <w:rPr>
              <w:rStyle w:val="34"/>
            </w:rPr>
            <w:t>37. 民办普通本专科招生所占比例（%）</w:t>
          </w:r>
          <w:r>
            <w:tab/>
          </w:r>
          <w:r>
            <w:fldChar w:fldCharType="begin"/>
          </w:r>
          <w:r>
            <w:instrText xml:space="preserve"> PAGEREF _Toc59961139 \h </w:instrText>
          </w:r>
          <w:r>
            <w:fldChar w:fldCharType="separate"/>
          </w:r>
          <w:r>
            <w:t>26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"_Toc59961140" </w:instrText>
          </w:r>
          <w:r>
            <w:fldChar w:fldCharType="separate"/>
          </w:r>
          <w:r>
            <w:rPr>
              <w:rStyle w:val="34"/>
            </w:rPr>
            <w:t>38. 中（小）学与外方缔结“友好学校”的学校比例（%）</w:t>
          </w:r>
          <w:r>
            <w:tab/>
          </w:r>
          <w:r>
            <w:fldChar w:fldCharType="begin"/>
          </w:r>
          <w:r>
            <w:instrText xml:space="preserve"> PAGEREF _Toc59961140 \h </w:instrText>
          </w:r>
          <w:r>
            <w:fldChar w:fldCharType="separate"/>
          </w:r>
          <w:r>
            <w:t>26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"_Toc59961141" </w:instrText>
          </w:r>
          <w:r>
            <w:fldChar w:fldCharType="separate"/>
          </w:r>
          <w:r>
            <w:rPr>
              <w:rStyle w:val="34"/>
            </w:rPr>
            <w:t>39. 普通高校开展短期出国校际交流的在校生所占比例（%）</w:t>
          </w:r>
          <w:r>
            <w:tab/>
          </w:r>
          <w:r>
            <w:fldChar w:fldCharType="begin"/>
          </w:r>
          <w:r>
            <w:instrText xml:space="preserve"> PAGEREF _Toc59961141 \h </w:instrText>
          </w:r>
          <w:r>
            <w:fldChar w:fldCharType="separate"/>
          </w:r>
          <w:r>
            <w:t>27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"_Toc59961142" </w:instrText>
          </w:r>
          <w:r>
            <w:fldChar w:fldCharType="separate"/>
          </w:r>
          <w:r>
            <w:rPr>
              <w:rStyle w:val="34"/>
            </w:rPr>
            <w:t>40. 普通高校学历教育留学生与在校生总数比</w:t>
          </w:r>
          <w:r>
            <w:tab/>
          </w:r>
          <w:r>
            <w:fldChar w:fldCharType="begin"/>
          </w:r>
          <w:r>
            <w:instrText xml:space="preserve"> PAGEREF _Toc59961142 \h </w:instrText>
          </w:r>
          <w:r>
            <w:fldChar w:fldCharType="separate"/>
          </w:r>
          <w:r>
            <w:t>27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"_Toc59961143" </w:instrText>
          </w:r>
          <w:r>
            <w:fldChar w:fldCharType="separate"/>
          </w:r>
          <w:r>
            <w:rPr>
              <w:rStyle w:val="34"/>
            </w:rPr>
            <w:t>41. 普通高校外国留学生中接受学历教育的比例（%）</w:t>
          </w:r>
          <w:r>
            <w:tab/>
          </w:r>
          <w:r>
            <w:fldChar w:fldCharType="begin"/>
          </w:r>
          <w:r>
            <w:instrText xml:space="preserve"> PAGEREF _Toc59961143 \h </w:instrText>
          </w:r>
          <w:r>
            <w:fldChar w:fldCharType="separate"/>
          </w:r>
          <w:r>
            <w:t>28</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"_Toc59961144" </w:instrText>
          </w:r>
          <w:r>
            <w:fldChar w:fldCharType="separate"/>
          </w:r>
          <w:r>
            <w:rPr>
              <w:rStyle w:val="34"/>
            </w:rPr>
            <w:t>三、学校办学条件</w:t>
          </w:r>
          <w:r>
            <w:tab/>
          </w:r>
          <w:r>
            <w:fldChar w:fldCharType="begin"/>
          </w:r>
          <w:r>
            <w:instrText xml:space="preserve"> PAGEREF _Toc59961144 \h </w:instrText>
          </w:r>
          <w:r>
            <w:fldChar w:fldCharType="separate"/>
          </w:r>
          <w:r>
            <w:t>28</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"_Toc59961145" </w:instrText>
          </w:r>
          <w:r>
            <w:fldChar w:fldCharType="separate"/>
          </w:r>
          <w:r>
            <w:rPr>
              <w:rStyle w:val="34"/>
            </w:rPr>
            <w:t>（一）教职工</w:t>
          </w:r>
          <w:r>
            <w:tab/>
          </w:r>
          <w:r>
            <w:fldChar w:fldCharType="begin"/>
          </w:r>
          <w:r>
            <w:instrText xml:space="preserve"> PAGEREF _Toc59961145 \h </w:instrText>
          </w:r>
          <w:r>
            <w:fldChar w:fldCharType="separate"/>
          </w:r>
          <w:r>
            <w:t>28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"_Toc59961146" </w:instrText>
          </w:r>
          <w:r>
            <w:fldChar w:fldCharType="separate"/>
          </w:r>
          <w:r>
            <w:rPr>
              <w:rStyle w:val="34"/>
            </w:rPr>
            <w:t>42. 生师比</w:t>
          </w:r>
          <w:r>
            <w:tab/>
          </w:r>
          <w:r>
            <w:fldChar w:fldCharType="begin"/>
          </w:r>
          <w:r>
            <w:instrText xml:space="preserve"> PAGEREF _Toc59961146 \h </w:instrText>
          </w:r>
          <w:r>
            <w:fldChar w:fldCharType="separate"/>
          </w:r>
          <w:r>
            <w:t>28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"_Toc59961147" </w:instrText>
          </w:r>
          <w:r>
            <w:fldChar w:fldCharType="separate"/>
          </w:r>
          <w:r>
            <w:rPr>
              <w:rStyle w:val="34"/>
            </w:rPr>
            <w:t>43. 中（小）学班师比</w:t>
          </w:r>
          <w:r>
            <w:tab/>
          </w:r>
          <w:r>
            <w:fldChar w:fldCharType="begin"/>
          </w:r>
          <w:r>
            <w:instrText xml:space="preserve"> PAGEREF _Toc59961147 \h </w:instrText>
          </w:r>
          <w:r>
            <w:fldChar w:fldCharType="separate"/>
          </w:r>
          <w:r>
            <w:t>30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"_Toc59961148" </w:instrText>
          </w:r>
          <w:r>
            <w:fldChar w:fldCharType="separate"/>
          </w:r>
          <w:r>
            <w:rPr>
              <w:rStyle w:val="34"/>
            </w:rPr>
            <w:t>44. 学历合格专任教师比例（%）</w:t>
          </w:r>
          <w:r>
            <w:tab/>
          </w:r>
          <w:r>
            <w:fldChar w:fldCharType="begin"/>
          </w:r>
          <w:r>
            <w:instrText xml:space="preserve"> PAGEREF _Toc59961148 \h </w:instrText>
          </w:r>
          <w:r>
            <w:fldChar w:fldCharType="separate"/>
          </w:r>
          <w:r>
            <w:t>30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"_Toc59961149" </w:instrText>
          </w:r>
          <w:r>
            <w:fldChar w:fldCharType="separate"/>
          </w:r>
          <w:r>
            <w:rPr>
              <w:rStyle w:val="34"/>
            </w:rPr>
            <w:t>45. 高于规定学历专任教师比例（%）</w:t>
          </w:r>
          <w:r>
            <w:tab/>
          </w:r>
          <w:r>
            <w:fldChar w:fldCharType="begin"/>
          </w:r>
          <w:r>
            <w:instrText xml:space="preserve"> PAGEREF _Toc59961149 \h </w:instrText>
          </w:r>
          <w:r>
            <w:fldChar w:fldCharType="separate"/>
          </w:r>
          <w:r>
            <w:t>31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"_Toc59961150" </w:instrText>
          </w:r>
          <w:r>
            <w:fldChar w:fldCharType="separate"/>
          </w:r>
          <w:r>
            <w:rPr>
              <w:rStyle w:val="34"/>
            </w:rPr>
            <w:t>46. 高级专业技术职务专任教师比例（%）</w:t>
          </w:r>
          <w:r>
            <w:tab/>
          </w:r>
          <w:r>
            <w:fldChar w:fldCharType="begin"/>
          </w:r>
          <w:r>
            <w:instrText xml:space="preserve"> PAGEREF _Toc59961150 \h </w:instrText>
          </w:r>
          <w:r>
            <w:fldChar w:fldCharType="separate"/>
          </w:r>
          <w:r>
            <w:t>32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"_Toc59961151" </w:instrText>
          </w:r>
          <w:r>
            <w:fldChar w:fldCharType="separate"/>
          </w:r>
          <w:r>
            <w:rPr>
              <w:rStyle w:val="34"/>
            </w:rPr>
            <w:t>47. 专任教师接受培训的比例（%）</w:t>
          </w:r>
          <w:r>
            <w:tab/>
          </w:r>
          <w:r>
            <w:fldChar w:fldCharType="begin"/>
          </w:r>
          <w:r>
            <w:instrText xml:space="preserve"> PAGEREF _Toc59961151 \h </w:instrText>
          </w:r>
          <w:r>
            <w:fldChar w:fldCharType="separate"/>
          </w:r>
          <w:r>
            <w:t>32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"_Toc59961152" </w:instrText>
          </w:r>
          <w:r>
            <w:fldChar w:fldCharType="separate"/>
          </w:r>
          <w:r>
            <w:rPr>
              <w:rStyle w:val="34"/>
            </w:rPr>
            <w:t>48. 专任教师普通话水平达到二级乙等及以上的比例（%）</w:t>
          </w:r>
          <w:r>
            <w:tab/>
          </w:r>
          <w:r>
            <w:fldChar w:fldCharType="begin"/>
          </w:r>
          <w:r>
            <w:instrText xml:space="preserve"> PAGEREF _Toc59961152 \h </w:instrText>
          </w:r>
          <w:r>
            <w:fldChar w:fldCharType="separate"/>
          </w:r>
          <w:r>
            <w:t>33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"_Toc59961153" </w:instrText>
          </w:r>
          <w:r>
            <w:fldChar w:fldCharType="separate"/>
          </w:r>
          <w:r>
            <w:rPr>
              <w:rStyle w:val="34"/>
            </w:rPr>
            <w:t>49. 幼儿园学前教育专业毕业专任教师比例（%）</w:t>
          </w:r>
          <w:r>
            <w:tab/>
          </w:r>
          <w:r>
            <w:fldChar w:fldCharType="begin"/>
          </w:r>
          <w:r>
            <w:instrText xml:space="preserve"> PAGEREF _Toc59961153 \h </w:instrText>
          </w:r>
          <w:r>
            <w:fldChar w:fldCharType="separate"/>
          </w:r>
          <w:r>
            <w:t>34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"_Toc59961154" </w:instrText>
          </w:r>
          <w:r>
            <w:fldChar w:fldCharType="separate"/>
          </w:r>
          <w:r>
            <w:rPr>
              <w:rStyle w:val="34"/>
            </w:rPr>
            <w:t>50. 公办幼儿园在编专任教师比例（%）</w:t>
          </w:r>
          <w:r>
            <w:tab/>
          </w:r>
          <w:r>
            <w:fldChar w:fldCharType="begin"/>
          </w:r>
          <w:r>
            <w:instrText xml:space="preserve"> PAGEREF _Toc59961154 \h </w:instrText>
          </w:r>
          <w:r>
            <w:fldChar w:fldCharType="separate"/>
          </w:r>
          <w:r>
            <w:t>35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"_Toc59961155" </w:instrText>
          </w:r>
          <w:r>
            <w:fldChar w:fldCharType="separate"/>
          </w:r>
          <w:r>
            <w:rPr>
              <w:rStyle w:val="34"/>
            </w:rPr>
            <w:t>51. 义务教育阶段教师交流轮岗比例（%）</w:t>
          </w:r>
          <w:r>
            <w:tab/>
          </w:r>
          <w:r>
            <w:fldChar w:fldCharType="begin"/>
          </w:r>
          <w:r>
            <w:instrText xml:space="preserve"> PAGEREF _Toc59961155 \h </w:instrText>
          </w:r>
          <w:r>
            <w:fldChar w:fldCharType="separate"/>
          </w:r>
          <w:r>
            <w:t>35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"_Toc59961156" </w:instrText>
          </w:r>
          <w:r>
            <w:fldChar w:fldCharType="separate"/>
          </w:r>
          <w:r>
            <w:rPr>
              <w:rStyle w:val="34"/>
            </w:rPr>
            <w:t>52. 中（小）学县级及以上骨干教师比例（%）</w:t>
          </w:r>
          <w:r>
            <w:tab/>
          </w:r>
          <w:r>
            <w:fldChar w:fldCharType="begin"/>
          </w:r>
          <w:r>
            <w:instrText xml:space="preserve"> PAGEREF _Toc59961156 \h </w:instrText>
          </w:r>
          <w:r>
            <w:fldChar w:fldCharType="separate"/>
          </w:r>
          <w:r>
            <w:t>36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"_Toc59961157" </w:instrText>
          </w:r>
          <w:r>
            <w:fldChar w:fldCharType="separate"/>
          </w:r>
          <w:r>
            <w:rPr>
              <w:rStyle w:val="34"/>
            </w:rPr>
            <w:t>53. 中（小）学学生与专职心理健康教育教师比</w:t>
          </w:r>
          <w:r>
            <w:tab/>
          </w:r>
          <w:r>
            <w:fldChar w:fldCharType="begin"/>
          </w:r>
          <w:r>
            <w:instrText xml:space="preserve"> PAGEREF _Toc59961157 \h </w:instrText>
          </w:r>
          <w:r>
            <w:fldChar w:fldCharType="separate"/>
          </w:r>
          <w:r>
            <w:t>37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"_Toc59961158" </w:instrText>
          </w:r>
          <w:r>
            <w:fldChar w:fldCharType="separate"/>
          </w:r>
          <w:r>
            <w:rPr>
              <w:rStyle w:val="34"/>
            </w:rPr>
            <w:t>54. 每百名学生拥有思想政治理论课专任教师数（人）</w:t>
          </w:r>
          <w:r>
            <w:tab/>
          </w:r>
          <w:r>
            <w:fldChar w:fldCharType="begin"/>
          </w:r>
          <w:r>
            <w:instrText xml:space="preserve"> PAGEREF _Toc59961158 \h </w:instrText>
          </w:r>
          <w:r>
            <w:fldChar w:fldCharType="separate"/>
          </w:r>
          <w:r>
            <w:t>37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"_Toc59961159" </w:instrText>
          </w:r>
          <w:r>
            <w:fldChar w:fldCharType="separate"/>
          </w:r>
          <w:r>
            <w:rPr>
              <w:rStyle w:val="34"/>
            </w:rPr>
            <w:t>55. 每百名学生拥有体育专任教师数（人）</w:t>
          </w:r>
          <w:r>
            <w:tab/>
          </w:r>
          <w:r>
            <w:fldChar w:fldCharType="begin"/>
          </w:r>
          <w:r>
            <w:instrText xml:space="preserve"> PAGEREF _Toc59961159 \h </w:instrText>
          </w:r>
          <w:r>
            <w:fldChar w:fldCharType="separate"/>
          </w:r>
          <w:r>
            <w:t>38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"_Toc59961160" </w:instrText>
          </w:r>
          <w:r>
            <w:fldChar w:fldCharType="separate"/>
          </w:r>
          <w:r>
            <w:rPr>
              <w:rStyle w:val="34"/>
            </w:rPr>
            <w:t>56. 每百名学生拥有美育专任教师数（人）</w:t>
          </w:r>
          <w:r>
            <w:tab/>
          </w:r>
          <w:r>
            <w:fldChar w:fldCharType="begin"/>
          </w:r>
          <w:r>
            <w:instrText xml:space="preserve"> PAGEREF _Toc59961160 \h </w:instrText>
          </w:r>
          <w:r>
            <w:fldChar w:fldCharType="separate"/>
          </w:r>
          <w:r>
            <w:t>39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"_Toc59961161" </w:instrText>
          </w:r>
          <w:r>
            <w:fldChar w:fldCharType="separate"/>
          </w:r>
          <w:r>
            <w:rPr>
              <w:rStyle w:val="34"/>
            </w:rPr>
            <w:t>57. 每百名学生拥有劳动与综合实践活动课程专任教师数（人）</w:t>
          </w:r>
          <w:r>
            <w:tab/>
          </w:r>
          <w:r>
            <w:fldChar w:fldCharType="begin"/>
          </w:r>
          <w:r>
            <w:instrText xml:space="preserve"> PAGEREF _Toc59961161 \h </w:instrText>
          </w:r>
          <w:r>
            <w:fldChar w:fldCharType="separate"/>
          </w:r>
          <w:r>
            <w:t>39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"_Toc59961162" </w:instrText>
          </w:r>
          <w:r>
            <w:fldChar w:fldCharType="separate"/>
          </w:r>
          <w:r>
            <w:rPr>
              <w:rStyle w:val="34"/>
            </w:rPr>
            <w:t>58. 特殊教育学校受过特教专业培训的专任教师比例（%）</w:t>
          </w:r>
          <w:r>
            <w:tab/>
          </w:r>
          <w:r>
            <w:fldChar w:fldCharType="begin"/>
          </w:r>
          <w:r>
            <w:instrText xml:space="preserve"> PAGEREF _Toc59961162 \h </w:instrText>
          </w:r>
          <w:r>
            <w:fldChar w:fldCharType="separate"/>
          </w:r>
          <w:r>
            <w:t>40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"_Toc59961163" </w:instrText>
          </w:r>
          <w:r>
            <w:fldChar w:fldCharType="separate"/>
          </w:r>
          <w:r>
            <w:rPr>
              <w:rStyle w:val="34"/>
            </w:rPr>
            <w:t>59. “双师型”教师比例（%）</w:t>
          </w:r>
          <w:r>
            <w:tab/>
          </w:r>
          <w:r>
            <w:fldChar w:fldCharType="begin"/>
          </w:r>
          <w:r>
            <w:instrText xml:space="preserve"> PAGEREF _Toc59961163 \h </w:instrText>
          </w:r>
          <w:r>
            <w:fldChar w:fldCharType="separate"/>
          </w:r>
          <w:r>
            <w:t>40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"_Toc59961164" </w:instrText>
          </w:r>
          <w:r>
            <w:fldChar w:fldCharType="separate"/>
          </w:r>
          <w:r>
            <w:rPr>
              <w:rStyle w:val="34"/>
            </w:rPr>
            <w:t>60. 普通高校具有硕士及以上学位的专任教师比例（%）</w:t>
          </w:r>
          <w:r>
            <w:tab/>
          </w:r>
          <w:r>
            <w:fldChar w:fldCharType="begin"/>
          </w:r>
          <w:r>
            <w:instrText xml:space="preserve"> PAGEREF _Toc59961164 \h </w:instrText>
          </w:r>
          <w:r>
            <w:fldChar w:fldCharType="separate"/>
          </w:r>
          <w:r>
            <w:t>41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"_Toc59961165" </w:instrText>
          </w:r>
          <w:r>
            <w:fldChar w:fldCharType="separate"/>
          </w:r>
          <w:r>
            <w:rPr>
              <w:rStyle w:val="34"/>
              <w:rFonts w:ascii="Arial" w:hAnsi="Arial" w:cs="Arial"/>
            </w:rPr>
            <w:t>61. 普通高校</w:t>
          </w:r>
          <w:r>
            <w:rPr>
              <w:rStyle w:val="34"/>
            </w:rPr>
            <w:t>为本科生上课的教授比例（%）</w:t>
          </w:r>
          <w:r>
            <w:tab/>
          </w:r>
          <w:r>
            <w:fldChar w:fldCharType="begin"/>
          </w:r>
          <w:r>
            <w:instrText xml:space="preserve"> PAGEREF _Toc59961165 \h </w:instrText>
          </w:r>
          <w:r>
            <w:fldChar w:fldCharType="separate"/>
          </w:r>
          <w:r>
            <w:t>42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"_Toc59961166" </w:instrText>
          </w:r>
          <w:r>
            <w:fldChar w:fldCharType="separate"/>
          </w:r>
          <w:r>
            <w:rPr>
              <w:rStyle w:val="34"/>
            </w:rPr>
            <w:t>62. 普通高校学生与专职辅导员总数比</w:t>
          </w:r>
          <w:r>
            <w:tab/>
          </w:r>
          <w:r>
            <w:fldChar w:fldCharType="begin"/>
          </w:r>
          <w:r>
            <w:instrText xml:space="preserve"> PAGEREF _Toc59961166 \h </w:instrText>
          </w:r>
          <w:r>
            <w:fldChar w:fldCharType="separate"/>
          </w:r>
          <w:r>
            <w:t>42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"_Toc59961167" </w:instrText>
          </w:r>
          <w:r>
            <w:fldChar w:fldCharType="separate"/>
          </w:r>
          <w:r>
            <w:rPr>
              <w:rStyle w:val="34"/>
            </w:rPr>
            <w:t>63. 普通高校学生与心理健康教育专职教师比</w:t>
          </w:r>
          <w:r>
            <w:tab/>
          </w:r>
          <w:r>
            <w:fldChar w:fldCharType="begin"/>
          </w:r>
          <w:r>
            <w:instrText xml:space="preserve"> PAGEREF _Toc59961167 \h </w:instrText>
          </w:r>
          <w:r>
            <w:fldChar w:fldCharType="separate"/>
          </w:r>
          <w:r>
            <w:t>43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"_Toc59961168" </w:instrText>
          </w:r>
          <w:r>
            <w:fldChar w:fldCharType="separate"/>
          </w:r>
          <w:r>
            <w:rPr>
              <w:rStyle w:val="34"/>
            </w:rPr>
            <w:t>64. 普通高校聘请教师与校本部专任教师比</w:t>
          </w:r>
          <w:r>
            <w:tab/>
          </w:r>
          <w:r>
            <w:fldChar w:fldCharType="begin"/>
          </w:r>
          <w:r>
            <w:instrText xml:space="preserve"> PAGEREF _Toc59961168 \h </w:instrText>
          </w:r>
          <w:r>
            <w:fldChar w:fldCharType="separate"/>
          </w:r>
          <w:r>
            <w:t>43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"_Toc59961169" </w:instrText>
          </w:r>
          <w:r>
            <w:fldChar w:fldCharType="separate"/>
          </w:r>
          <w:r>
            <w:rPr>
              <w:rStyle w:val="34"/>
            </w:rPr>
            <w:t>65. 普通高校聘请外籍教师与专任教师比</w:t>
          </w:r>
          <w:r>
            <w:tab/>
          </w:r>
          <w:r>
            <w:fldChar w:fldCharType="begin"/>
          </w:r>
          <w:r>
            <w:instrText xml:space="preserve"> PAGEREF _Toc59961169 \h </w:instrText>
          </w:r>
          <w:r>
            <w:fldChar w:fldCharType="separate"/>
          </w:r>
          <w:r>
            <w:t>44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"_Toc59961170" </w:instrText>
          </w:r>
          <w:r>
            <w:fldChar w:fldCharType="separate"/>
          </w:r>
          <w:r>
            <w:rPr>
              <w:rStyle w:val="34"/>
            </w:rPr>
            <w:t>66. 专任教师退出率（%）</w:t>
          </w:r>
          <w:r>
            <w:tab/>
          </w:r>
          <w:r>
            <w:fldChar w:fldCharType="begin"/>
          </w:r>
          <w:r>
            <w:instrText xml:space="preserve"> PAGEREF _Toc59961170 \h </w:instrText>
          </w:r>
          <w:r>
            <w:fldChar w:fldCharType="separate"/>
          </w:r>
          <w:r>
            <w:t>45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"_Toc59961171" </w:instrText>
          </w:r>
          <w:r>
            <w:fldChar w:fldCharType="separate"/>
          </w:r>
          <w:r>
            <w:rPr>
              <w:rStyle w:val="34"/>
            </w:rPr>
            <w:t>67. 教师平均工资收入水平与当地公务员平均工资收入水平比</w:t>
          </w:r>
          <w:r>
            <w:tab/>
          </w:r>
          <w:r>
            <w:fldChar w:fldCharType="begin"/>
          </w:r>
          <w:r>
            <w:instrText xml:space="preserve"> PAGEREF _Toc59961171 \h </w:instrText>
          </w:r>
          <w:r>
            <w:fldChar w:fldCharType="separate"/>
          </w:r>
          <w:r>
            <w:t>46</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"_Toc59961172" </w:instrText>
          </w:r>
          <w:r>
            <w:fldChar w:fldCharType="separate"/>
          </w:r>
          <w:r>
            <w:rPr>
              <w:rStyle w:val="34"/>
            </w:rPr>
            <w:t>（二）学校校舍、占地</w:t>
          </w:r>
          <w:r>
            <w:tab/>
          </w:r>
          <w:r>
            <w:fldChar w:fldCharType="begin"/>
          </w:r>
          <w:r>
            <w:instrText xml:space="preserve"> PAGEREF _Toc59961172 \h </w:instrText>
          </w:r>
          <w:r>
            <w:fldChar w:fldCharType="separate"/>
          </w:r>
          <w:r>
            <w:t>46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"_Toc59961173" </w:instrText>
          </w:r>
          <w:r>
            <w:fldChar w:fldCharType="separate"/>
          </w:r>
          <w:r>
            <w:rPr>
              <w:rStyle w:val="34"/>
            </w:rPr>
            <w:t>68. 义务教育阶段标准化学校覆盖率（%）</w:t>
          </w:r>
          <w:r>
            <w:tab/>
          </w:r>
          <w:r>
            <w:fldChar w:fldCharType="begin"/>
          </w:r>
          <w:r>
            <w:instrText xml:space="preserve"> PAGEREF _Toc59961173 \h </w:instrText>
          </w:r>
          <w:r>
            <w:fldChar w:fldCharType="separate"/>
          </w:r>
          <w:r>
            <w:t>46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"_Toc59961174" </w:instrText>
          </w:r>
          <w:r>
            <w:fldChar w:fldCharType="separate"/>
          </w:r>
          <w:r>
            <w:rPr>
              <w:rStyle w:val="34"/>
            </w:rPr>
            <w:t>69. 生均校舍建筑面积（平方米/生）</w:t>
          </w:r>
          <w:r>
            <w:tab/>
          </w:r>
          <w:r>
            <w:fldChar w:fldCharType="begin"/>
          </w:r>
          <w:r>
            <w:instrText xml:space="preserve"> PAGEREF _Toc59961174 \h </w:instrText>
          </w:r>
          <w:r>
            <w:fldChar w:fldCharType="separate"/>
          </w:r>
          <w:r>
            <w:t>47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"_Toc59961175" </w:instrText>
          </w:r>
          <w:r>
            <w:fldChar w:fldCharType="separate"/>
          </w:r>
          <w:r>
            <w:rPr>
              <w:rStyle w:val="34"/>
            </w:rPr>
            <w:t>70. 生均教学及辅助用房面积（平方米/生）</w:t>
          </w:r>
          <w:r>
            <w:tab/>
          </w:r>
          <w:r>
            <w:fldChar w:fldCharType="begin"/>
          </w:r>
          <w:r>
            <w:instrText xml:space="preserve"> PAGEREF _Toc59961175 \h </w:instrText>
          </w:r>
          <w:r>
            <w:fldChar w:fldCharType="separate"/>
          </w:r>
          <w:r>
            <w:t>48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"_Toc59961176" </w:instrText>
          </w:r>
          <w:r>
            <w:fldChar w:fldCharType="separate"/>
          </w:r>
          <w:r>
            <w:rPr>
              <w:rStyle w:val="34"/>
            </w:rPr>
            <w:t>71. 生均实验室面积（平方米/生）</w:t>
          </w:r>
          <w:r>
            <w:tab/>
          </w:r>
          <w:r>
            <w:fldChar w:fldCharType="begin"/>
          </w:r>
          <w:r>
            <w:instrText xml:space="preserve"> PAGEREF _Toc59961176 \h </w:instrText>
          </w:r>
          <w:r>
            <w:fldChar w:fldCharType="separate"/>
          </w:r>
          <w:r>
            <w:t>49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"_Toc59961177" </w:instrText>
          </w:r>
          <w:r>
            <w:fldChar w:fldCharType="separate"/>
          </w:r>
          <w:r>
            <w:rPr>
              <w:rStyle w:val="34"/>
            </w:rPr>
            <w:t>72. 寄（住）宿生生均宿舍面积（平方米/生）</w:t>
          </w:r>
          <w:r>
            <w:tab/>
          </w:r>
          <w:r>
            <w:fldChar w:fldCharType="begin"/>
          </w:r>
          <w:r>
            <w:instrText xml:space="preserve"> PAGEREF _Toc59961177 \h </w:instrText>
          </w:r>
          <w:r>
            <w:fldChar w:fldCharType="separate"/>
          </w:r>
          <w:r>
            <w:t>49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"_Toc59961178" </w:instrText>
          </w:r>
          <w:r>
            <w:fldChar w:fldCharType="separate"/>
          </w:r>
          <w:r>
            <w:rPr>
              <w:rStyle w:val="34"/>
            </w:rPr>
            <w:t>73. 普通高校生均宿舍面积（平方米/生）</w:t>
          </w:r>
          <w:r>
            <w:tab/>
          </w:r>
          <w:r>
            <w:fldChar w:fldCharType="begin"/>
          </w:r>
          <w:r>
            <w:instrText xml:space="preserve"> PAGEREF _Toc59961178 \h </w:instrText>
          </w:r>
          <w:r>
            <w:fldChar w:fldCharType="separate"/>
          </w:r>
          <w:r>
            <w:t>50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"_Toc59961179" </w:instrText>
          </w:r>
          <w:r>
            <w:fldChar w:fldCharType="separate"/>
          </w:r>
          <w:r>
            <w:rPr>
              <w:rStyle w:val="34"/>
            </w:rPr>
            <w:t>74. 生均学校占地面积（平方米/生）</w:t>
          </w:r>
          <w:r>
            <w:tab/>
          </w:r>
          <w:r>
            <w:fldChar w:fldCharType="begin"/>
          </w:r>
          <w:r>
            <w:instrText xml:space="preserve"> PAGEREF _Toc59961179 \h </w:instrText>
          </w:r>
          <w:r>
            <w:fldChar w:fldCharType="separate"/>
          </w:r>
          <w:r>
            <w:t>51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"_Toc59961180" </w:instrText>
          </w:r>
          <w:r>
            <w:fldChar w:fldCharType="separate"/>
          </w:r>
          <w:r>
            <w:rPr>
              <w:rStyle w:val="34"/>
            </w:rPr>
            <w:t>75. 学校绿化用地面积所占比例（%）</w:t>
          </w:r>
          <w:r>
            <w:tab/>
          </w:r>
          <w:r>
            <w:fldChar w:fldCharType="begin"/>
          </w:r>
          <w:r>
            <w:instrText xml:space="preserve"> PAGEREF _Toc59961180 \h </w:instrText>
          </w:r>
          <w:r>
            <w:fldChar w:fldCharType="separate"/>
          </w:r>
          <w:r>
            <w:t>51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"_Toc59961181" </w:instrText>
          </w:r>
          <w:r>
            <w:fldChar w:fldCharType="separate"/>
          </w:r>
          <w:r>
            <w:rPr>
              <w:rStyle w:val="34"/>
            </w:rPr>
            <w:t>76. 生均体育馆面积（平方米/生）</w:t>
          </w:r>
          <w:r>
            <w:tab/>
          </w:r>
          <w:r>
            <w:fldChar w:fldCharType="begin"/>
          </w:r>
          <w:r>
            <w:instrText xml:space="preserve"> PAGEREF _Toc59961181 \h </w:instrText>
          </w:r>
          <w:r>
            <w:fldChar w:fldCharType="separate"/>
          </w:r>
          <w:r>
            <w:t>52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"_Toc59961182" </w:instrText>
          </w:r>
          <w:r>
            <w:fldChar w:fldCharType="separate"/>
          </w:r>
          <w:r>
            <w:rPr>
              <w:rStyle w:val="34"/>
            </w:rPr>
            <w:t>77. 生均运动场地面积（平方米/生）</w:t>
          </w:r>
          <w:r>
            <w:tab/>
          </w:r>
          <w:r>
            <w:fldChar w:fldCharType="begin"/>
          </w:r>
          <w:r>
            <w:instrText xml:space="preserve"> PAGEREF _Toc59961182 \h </w:instrText>
          </w:r>
          <w:r>
            <w:fldChar w:fldCharType="separate"/>
          </w:r>
          <w:r>
            <w:t>53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"_Toc59961183" </w:instrText>
          </w:r>
          <w:r>
            <w:fldChar w:fldCharType="separate"/>
          </w:r>
          <w:r>
            <w:rPr>
              <w:rStyle w:val="34"/>
            </w:rPr>
            <w:t>78. 中（小）学体育运动场（馆）面积达标率（%）</w:t>
          </w:r>
          <w:r>
            <w:tab/>
          </w:r>
          <w:r>
            <w:fldChar w:fldCharType="begin"/>
          </w:r>
          <w:r>
            <w:instrText xml:space="preserve"> PAGEREF _Toc59961183 \h </w:instrText>
          </w:r>
          <w:r>
            <w:fldChar w:fldCharType="separate"/>
          </w:r>
          <w:r>
            <w:t>54</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"_Toc59961184" </w:instrText>
          </w:r>
          <w:r>
            <w:fldChar w:fldCharType="separate"/>
          </w:r>
          <w:r>
            <w:rPr>
              <w:rStyle w:val="34"/>
            </w:rPr>
            <w:t>（三）学校图书、教学仪器配备</w:t>
          </w:r>
          <w:r>
            <w:tab/>
          </w:r>
          <w:r>
            <w:fldChar w:fldCharType="begin"/>
          </w:r>
          <w:r>
            <w:instrText xml:space="preserve"> PAGEREF _Toc59961184 \h </w:instrText>
          </w:r>
          <w:r>
            <w:fldChar w:fldCharType="separate"/>
          </w:r>
          <w:r>
            <w:t>54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"_Toc59961185" </w:instrText>
          </w:r>
          <w:r>
            <w:fldChar w:fldCharType="separate"/>
          </w:r>
          <w:r>
            <w:rPr>
              <w:rStyle w:val="34"/>
            </w:rPr>
            <w:t>79. 生均图书（册/生）</w:t>
          </w:r>
          <w:r>
            <w:tab/>
          </w:r>
          <w:r>
            <w:fldChar w:fldCharType="begin"/>
          </w:r>
          <w:r>
            <w:instrText xml:space="preserve"> PAGEREF _Toc59961185 \h </w:instrText>
          </w:r>
          <w:r>
            <w:fldChar w:fldCharType="separate"/>
          </w:r>
          <w:r>
            <w:t>54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"_Toc59961186" </w:instrText>
          </w:r>
          <w:r>
            <w:fldChar w:fldCharType="separate"/>
          </w:r>
          <w:r>
            <w:rPr>
              <w:rStyle w:val="34"/>
            </w:rPr>
            <w:t>80. 幼儿园玩教具配备达标率（%）</w:t>
          </w:r>
          <w:r>
            <w:tab/>
          </w:r>
          <w:r>
            <w:fldChar w:fldCharType="begin"/>
          </w:r>
          <w:r>
            <w:instrText xml:space="preserve"> PAGEREF _Toc59961186 \h </w:instrText>
          </w:r>
          <w:r>
            <w:fldChar w:fldCharType="separate"/>
          </w:r>
          <w:r>
            <w:t>55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"_Toc59961187" </w:instrText>
          </w:r>
          <w:r>
            <w:fldChar w:fldCharType="separate"/>
          </w:r>
          <w:r>
            <w:rPr>
              <w:rStyle w:val="34"/>
            </w:rPr>
            <w:t>81. 生均教学仪器设备值（元/生）</w:t>
          </w:r>
          <w:r>
            <w:tab/>
          </w:r>
          <w:r>
            <w:fldChar w:fldCharType="begin"/>
          </w:r>
          <w:r>
            <w:instrText xml:space="preserve"> PAGEREF _Toc59961187 \h </w:instrText>
          </w:r>
          <w:r>
            <w:fldChar w:fldCharType="separate"/>
          </w:r>
          <w:r>
            <w:t>56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"_Toc59961188" </w:instrText>
          </w:r>
          <w:r>
            <w:fldChar w:fldCharType="separate"/>
          </w:r>
          <w:r>
            <w:rPr>
              <w:rStyle w:val="34"/>
            </w:rPr>
            <w:t>82. 中（小）学体育器械配备达标率（%）</w:t>
          </w:r>
          <w:r>
            <w:tab/>
          </w:r>
          <w:r>
            <w:fldChar w:fldCharType="begin"/>
          </w:r>
          <w:r>
            <w:instrText xml:space="preserve"> PAGEREF _Toc59961188 \h </w:instrText>
          </w:r>
          <w:r>
            <w:fldChar w:fldCharType="separate"/>
          </w:r>
          <w:r>
            <w:t>56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"_Toc59961189" </w:instrText>
          </w:r>
          <w:r>
            <w:fldChar w:fldCharType="separate"/>
          </w:r>
          <w:r>
            <w:rPr>
              <w:rStyle w:val="34"/>
            </w:rPr>
            <w:t>83. 中（小）学音乐器材配备达标率（%）</w:t>
          </w:r>
          <w:r>
            <w:tab/>
          </w:r>
          <w:r>
            <w:fldChar w:fldCharType="begin"/>
          </w:r>
          <w:r>
            <w:instrText xml:space="preserve"> PAGEREF _Toc59961189 \h </w:instrText>
          </w:r>
          <w:r>
            <w:fldChar w:fldCharType="separate"/>
          </w:r>
          <w:r>
            <w:t>57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"_Toc59961190" </w:instrText>
          </w:r>
          <w:r>
            <w:fldChar w:fldCharType="separate"/>
          </w:r>
          <w:r>
            <w:rPr>
              <w:rStyle w:val="34"/>
            </w:rPr>
            <w:t>84. 中（小）学美术器材配备达标率（%）</w:t>
          </w:r>
          <w:r>
            <w:tab/>
          </w:r>
          <w:r>
            <w:fldChar w:fldCharType="begin"/>
          </w:r>
          <w:r>
            <w:instrText xml:space="preserve"> PAGEREF _Toc59961190 \h </w:instrText>
          </w:r>
          <w:r>
            <w:fldChar w:fldCharType="separate"/>
          </w:r>
          <w:r>
            <w:t>58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"_Toc59961191" </w:instrText>
          </w:r>
          <w:r>
            <w:fldChar w:fldCharType="separate"/>
          </w:r>
          <w:r>
            <w:rPr>
              <w:rStyle w:val="34"/>
            </w:rPr>
            <w:t>85. 小学数学科学实验仪器达标率（%）</w:t>
          </w:r>
          <w:r>
            <w:tab/>
          </w:r>
          <w:r>
            <w:fldChar w:fldCharType="begin"/>
          </w:r>
          <w:r>
            <w:instrText xml:space="preserve"> PAGEREF _Toc59961191 \h </w:instrText>
          </w:r>
          <w:r>
            <w:fldChar w:fldCharType="separate"/>
          </w:r>
          <w:r>
            <w:t>58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"_Toc59961192" </w:instrText>
          </w:r>
          <w:r>
            <w:fldChar w:fldCharType="separate"/>
          </w:r>
          <w:r>
            <w:rPr>
              <w:rStyle w:val="34"/>
            </w:rPr>
            <w:t>86. 中学理科实验仪器达标率（%）</w:t>
          </w:r>
          <w:r>
            <w:tab/>
          </w:r>
          <w:r>
            <w:fldChar w:fldCharType="begin"/>
          </w:r>
          <w:r>
            <w:instrText xml:space="preserve"> PAGEREF _Toc59961192 \h </w:instrText>
          </w:r>
          <w:r>
            <w:fldChar w:fldCharType="separate"/>
          </w:r>
          <w:r>
            <w:t>59</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"_Toc59961193" </w:instrText>
          </w:r>
          <w:r>
            <w:fldChar w:fldCharType="separate"/>
          </w:r>
          <w:r>
            <w:rPr>
              <w:rStyle w:val="34"/>
            </w:rPr>
            <w:t>（四）学校信息化建设</w:t>
          </w:r>
          <w:r>
            <w:tab/>
          </w:r>
          <w:r>
            <w:fldChar w:fldCharType="begin"/>
          </w:r>
          <w:r>
            <w:instrText xml:space="preserve"> PAGEREF _Toc59961193 \h </w:instrText>
          </w:r>
          <w:r>
            <w:fldChar w:fldCharType="separate"/>
          </w:r>
          <w:r>
            <w:t>59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"_Toc59961194" </w:instrText>
          </w:r>
          <w:r>
            <w:fldChar w:fldCharType="separate"/>
          </w:r>
          <w:r>
            <w:rPr>
              <w:rStyle w:val="34"/>
            </w:rPr>
            <w:t>87. 每百名学生拥有教学用终端数（台/百人）</w:t>
          </w:r>
          <w:r>
            <w:tab/>
          </w:r>
          <w:r>
            <w:fldChar w:fldCharType="begin"/>
          </w:r>
          <w:r>
            <w:instrText xml:space="preserve"> PAGEREF _Toc59961194 \h </w:instrText>
          </w:r>
          <w:r>
            <w:fldChar w:fldCharType="separate"/>
          </w:r>
          <w:r>
            <w:t>59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"_Toc59961195" </w:instrText>
          </w:r>
          <w:r>
            <w:fldChar w:fldCharType="separate"/>
          </w:r>
          <w:r>
            <w:rPr>
              <w:rStyle w:val="34"/>
            </w:rPr>
            <w:t>88. 建立校园网的学校比例（%）</w:t>
          </w:r>
          <w:r>
            <w:tab/>
          </w:r>
          <w:r>
            <w:fldChar w:fldCharType="begin"/>
          </w:r>
          <w:r>
            <w:instrText xml:space="preserve"> PAGEREF _Toc59961195 \h </w:instrText>
          </w:r>
          <w:r>
            <w:fldChar w:fldCharType="separate"/>
          </w:r>
          <w:r>
            <w:t>60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"_Toc59961196" </w:instrText>
          </w:r>
          <w:r>
            <w:fldChar w:fldCharType="separate"/>
          </w:r>
          <w:r>
            <w:rPr>
              <w:rStyle w:val="34"/>
            </w:rPr>
            <w:t>89. 接入互联网的学校比例（%）</w:t>
          </w:r>
          <w:r>
            <w:tab/>
          </w:r>
          <w:r>
            <w:fldChar w:fldCharType="begin"/>
          </w:r>
          <w:r>
            <w:instrText xml:space="preserve"> PAGEREF _Toc59961196 \h </w:instrText>
          </w:r>
          <w:r>
            <w:fldChar w:fldCharType="separate"/>
          </w:r>
          <w:r>
            <w:t>60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"_Toc59961197" </w:instrText>
          </w:r>
          <w:r>
            <w:fldChar w:fldCharType="separate"/>
          </w:r>
          <w:r>
            <w:rPr>
              <w:rStyle w:val="34"/>
            </w:rPr>
            <w:t>90. 出口带宽达到100Mbps以上的学校比例（%）</w:t>
          </w:r>
          <w:r>
            <w:tab/>
          </w:r>
          <w:r>
            <w:fldChar w:fldCharType="begin"/>
          </w:r>
          <w:r>
            <w:instrText xml:space="preserve"> PAGEREF _Toc59961197 \h </w:instrText>
          </w:r>
          <w:r>
            <w:fldChar w:fldCharType="separate"/>
          </w:r>
          <w:r>
            <w:t>61</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"_Toc59961198" </w:instrText>
          </w:r>
          <w:r>
            <w:fldChar w:fldCharType="separate"/>
          </w:r>
          <w:r>
            <w:rPr>
              <w:rStyle w:val="34"/>
            </w:rPr>
            <w:t>91. 网络多媒体教室占教室总数比例（%）</w:t>
          </w:r>
          <w:r>
            <w:tab/>
          </w:r>
          <w:r>
            <w:fldChar w:fldCharType="begin"/>
          </w:r>
          <w:r>
            <w:instrText xml:space="preserve"> PAGEREF _Toc59961198 \h </w:instrText>
          </w:r>
          <w:r>
            <w:fldChar w:fldCharType="separate"/>
          </w:r>
          <w:r>
            <w:t>62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"_Toc59961199" </w:instrText>
          </w:r>
          <w:r>
            <w:fldChar w:fldCharType="separate"/>
          </w:r>
          <w:r>
            <w:rPr>
              <w:rStyle w:val="34"/>
            </w:rPr>
            <w:t>92. 开通网络学习空间的学生比例 (%)</w:t>
          </w:r>
          <w:r>
            <w:tab/>
          </w:r>
          <w:r>
            <w:fldChar w:fldCharType="begin"/>
          </w:r>
          <w:r>
            <w:instrText xml:space="preserve"> PAGEREF _Toc59961199 \h </w:instrText>
          </w:r>
          <w:r>
            <w:fldChar w:fldCharType="separate"/>
          </w:r>
          <w:r>
            <w:t>63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"_Toc59961200" </w:instrText>
          </w:r>
          <w:r>
            <w:fldChar w:fldCharType="separate"/>
          </w:r>
          <w:r>
            <w:rPr>
              <w:rStyle w:val="34"/>
            </w:rPr>
            <w:t>93. 开通网络学习空间的教师比例 (%)</w:t>
          </w:r>
          <w:r>
            <w:tab/>
          </w:r>
          <w:r>
            <w:fldChar w:fldCharType="begin"/>
          </w:r>
          <w:r>
            <w:instrText xml:space="preserve"> PAGEREF _Toc59961200 \h </w:instrText>
          </w:r>
          <w:r>
            <w:fldChar w:fldCharType="separate"/>
          </w:r>
          <w:r>
            <w:t>63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"_Toc59961201" </w:instrText>
          </w:r>
          <w:r>
            <w:fldChar w:fldCharType="separate"/>
          </w:r>
          <w:r>
            <w:rPr>
              <w:rStyle w:val="34"/>
            </w:rPr>
            <w:t>94. 每百名专任教师接受信息技术相关培训数（人次/百人）</w:t>
          </w:r>
          <w:r>
            <w:tab/>
          </w:r>
          <w:r>
            <w:fldChar w:fldCharType="begin"/>
          </w:r>
          <w:r>
            <w:instrText xml:space="preserve"> PAGEREF _Toc59961201 \h </w:instrText>
          </w:r>
          <w:r>
            <w:fldChar w:fldCharType="separate"/>
          </w:r>
          <w:r>
            <w:t>64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"_Toc59961202" </w:instrText>
          </w:r>
          <w:r>
            <w:fldChar w:fldCharType="separate"/>
          </w:r>
          <w:r>
            <w:rPr>
              <w:rStyle w:val="34"/>
            </w:rPr>
            <w:t>95. 校均网络课程数（门/校）</w:t>
          </w:r>
          <w:r>
            <w:tab/>
          </w:r>
          <w:r>
            <w:fldChar w:fldCharType="begin"/>
          </w:r>
          <w:r>
            <w:instrText xml:space="preserve"> PAGEREF _Toc59961202 \h </w:instrText>
          </w:r>
          <w:r>
            <w:fldChar w:fldCharType="separate"/>
          </w:r>
          <w:r>
            <w:t>65</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"_Toc59961203" </w:instrText>
          </w:r>
          <w:r>
            <w:fldChar w:fldCharType="separate"/>
          </w:r>
          <w:r>
            <w:rPr>
              <w:rStyle w:val="34"/>
            </w:rPr>
            <w:t>（五）学校医疗、卫生、安全情况</w:t>
          </w:r>
          <w:r>
            <w:tab/>
          </w:r>
          <w:r>
            <w:fldChar w:fldCharType="begin"/>
          </w:r>
          <w:r>
            <w:instrText xml:space="preserve"> PAGEREF _Toc59961203 \h </w:instrText>
          </w:r>
          <w:r>
            <w:fldChar w:fldCharType="separate"/>
          </w:r>
          <w:r>
            <w:t>65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"_Toc59961204" </w:instrText>
          </w:r>
          <w:r>
            <w:fldChar w:fldCharType="separate"/>
          </w:r>
          <w:r>
            <w:rPr>
              <w:rStyle w:val="34"/>
            </w:rPr>
            <w:t>96. 中（小）学有校医院（卫生室）的学校比例（%）</w:t>
          </w:r>
          <w:r>
            <w:tab/>
          </w:r>
          <w:r>
            <w:fldChar w:fldCharType="begin"/>
          </w:r>
          <w:r>
            <w:instrText xml:space="preserve"> PAGEREF _Toc59961204 \h </w:instrText>
          </w:r>
          <w:r>
            <w:fldChar w:fldCharType="separate"/>
          </w:r>
          <w:r>
            <w:t>65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"_Toc59961205" </w:instrText>
          </w:r>
          <w:r>
            <w:fldChar w:fldCharType="separate"/>
          </w:r>
          <w:r>
            <w:rPr>
              <w:rStyle w:val="34"/>
            </w:rPr>
            <w:t>97. 中（小）学有专职校医的学校比例（%）</w:t>
          </w:r>
          <w:r>
            <w:tab/>
          </w:r>
          <w:r>
            <w:fldChar w:fldCharType="begin"/>
          </w:r>
          <w:r>
            <w:instrText xml:space="preserve"> PAGEREF _Toc59961205 \h </w:instrText>
          </w:r>
          <w:r>
            <w:fldChar w:fldCharType="separate"/>
          </w:r>
          <w:r>
            <w:t>66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"_Toc59961206" </w:instrText>
          </w:r>
          <w:r>
            <w:fldChar w:fldCharType="separate"/>
          </w:r>
          <w:r>
            <w:rPr>
              <w:rStyle w:val="34"/>
            </w:rPr>
            <w:t>98. 有专职保健人员的学校比例（%）</w:t>
          </w:r>
          <w:r>
            <w:tab/>
          </w:r>
          <w:r>
            <w:fldChar w:fldCharType="begin"/>
          </w:r>
          <w:r>
            <w:instrText xml:space="preserve"> PAGEREF _Toc59961206 \h </w:instrText>
          </w:r>
          <w:r>
            <w:fldChar w:fldCharType="separate"/>
          </w:r>
          <w:r>
            <w:t>67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"_Toc59961207" </w:instrText>
          </w:r>
          <w:r>
            <w:fldChar w:fldCharType="separate"/>
          </w:r>
          <w:r>
            <w:rPr>
              <w:rStyle w:val="34"/>
            </w:rPr>
            <w:t>99. 有安全保卫人员的学校比例（%）</w:t>
          </w:r>
          <w:r>
            <w:tab/>
          </w:r>
          <w:r>
            <w:fldChar w:fldCharType="begin"/>
          </w:r>
          <w:r>
            <w:instrText xml:space="preserve"> PAGEREF _Toc59961207 \h </w:instrText>
          </w:r>
          <w:r>
            <w:fldChar w:fldCharType="separate"/>
          </w:r>
          <w:r>
            <w:t>67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"_Toc59961208" </w:instrText>
          </w:r>
          <w:r>
            <w:fldChar w:fldCharType="separate"/>
          </w:r>
          <w:r>
            <w:rPr>
              <w:rStyle w:val="34"/>
            </w:rPr>
            <w:t>100. 有网管供水的学校比例（%）</w:t>
          </w:r>
          <w:r>
            <w:tab/>
          </w:r>
          <w:r>
            <w:fldChar w:fldCharType="begin"/>
          </w:r>
          <w:r>
            <w:instrText xml:space="preserve"> PAGEREF _Toc59961208 \h </w:instrText>
          </w:r>
          <w:r>
            <w:fldChar w:fldCharType="separate"/>
          </w:r>
          <w:r>
            <w:t>68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"_Toc59961209" </w:instrText>
          </w:r>
          <w:r>
            <w:fldChar w:fldCharType="separate"/>
          </w:r>
          <w:r>
            <w:rPr>
              <w:rStyle w:val="34"/>
            </w:rPr>
            <w:t>101. 有基本洗手设施的学校比例（%）</w:t>
          </w:r>
          <w:r>
            <w:tab/>
          </w:r>
          <w:r>
            <w:fldChar w:fldCharType="begin"/>
          </w:r>
          <w:r>
            <w:instrText xml:space="preserve"> PAGEREF _Toc59961209 \h </w:instrText>
          </w:r>
          <w:r>
            <w:fldChar w:fldCharType="separate"/>
          </w:r>
          <w:r>
            <w:t>69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"_Toc59961210" </w:instrText>
          </w:r>
          <w:r>
            <w:fldChar w:fldCharType="separate"/>
          </w:r>
          <w:r>
            <w:rPr>
              <w:rStyle w:val="34"/>
            </w:rPr>
            <w:t>102. 有卫生厕所的学校比例（%）</w:t>
          </w:r>
          <w:r>
            <w:tab/>
          </w:r>
          <w:r>
            <w:fldChar w:fldCharType="begin"/>
          </w:r>
          <w:r>
            <w:instrText xml:space="preserve"> PAGEREF _Toc59961210 \h </w:instrText>
          </w:r>
          <w:r>
            <w:fldChar w:fldCharType="separate"/>
          </w:r>
          <w:r>
            <w:t>69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"_Toc59961211" </w:instrText>
          </w:r>
          <w:r>
            <w:fldChar w:fldCharType="separate"/>
          </w:r>
          <w:r>
            <w:rPr>
              <w:rStyle w:val="34"/>
            </w:rPr>
            <w:t>103. 在校生死亡人数所占比例（%）</w:t>
          </w:r>
          <w:r>
            <w:tab/>
          </w:r>
          <w:r>
            <w:fldChar w:fldCharType="begin"/>
          </w:r>
          <w:r>
            <w:instrText xml:space="preserve"> PAGEREF _Toc59961211 \h </w:instrText>
          </w:r>
          <w:r>
            <w:fldChar w:fldCharType="separate"/>
          </w:r>
          <w:r>
            <w:t>70</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"_Toc59961212" </w:instrText>
          </w:r>
          <w:r>
            <w:fldChar w:fldCharType="separate"/>
          </w:r>
          <w:r>
            <w:rPr>
              <w:rStyle w:val="34"/>
            </w:rPr>
            <w:t>104. 在校生死亡人数中校内所占比例（%）</w:t>
          </w:r>
          <w:r>
            <w:tab/>
          </w:r>
          <w:r>
            <w:fldChar w:fldCharType="begin"/>
          </w:r>
          <w:r>
            <w:instrText xml:space="preserve"> PAGEREF _Toc59961212 \h </w:instrText>
          </w:r>
          <w:r>
            <w:fldChar w:fldCharType="separate"/>
          </w:r>
          <w:r>
            <w:t>71</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"_Toc59961213" </w:instrText>
          </w:r>
          <w:r>
            <w:fldChar w:fldCharType="separate"/>
          </w:r>
          <w:r>
            <w:rPr>
              <w:rStyle w:val="34"/>
            </w:rPr>
            <w:t>四、教育经费</w:t>
          </w:r>
          <w:r>
            <w:tab/>
          </w:r>
          <w:r>
            <w:fldChar w:fldCharType="begin"/>
          </w:r>
          <w:r>
            <w:instrText xml:space="preserve"> PAGEREF _Toc59961213 \h </w:instrText>
          </w:r>
          <w:r>
            <w:fldChar w:fldCharType="separate"/>
          </w:r>
          <w:r>
            <w:t>72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"_Toc59961214" </w:instrText>
          </w:r>
          <w:r>
            <w:fldChar w:fldCharType="separate"/>
          </w:r>
          <w:r>
            <w:rPr>
              <w:rStyle w:val="34"/>
            </w:rPr>
            <w:t>105. 一般公共预算教育经费占一般公共预算支出比例（%）</w:t>
          </w:r>
          <w:r>
            <w:tab/>
          </w:r>
          <w:r>
            <w:fldChar w:fldCharType="begin"/>
          </w:r>
          <w:r>
            <w:instrText xml:space="preserve"> PAGEREF _Toc59961214 \h </w:instrText>
          </w:r>
          <w:r>
            <w:fldChar w:fldCharType="separate"/>
          </w:r>
          <w:r>
            <w:t>72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"_Toc59961215" </w:instrText>
          </w:r>
          <w:r>
            <w:fldChar w:fldCharType="separate"/>
          </w:r>
          <w:r>
            <w:rPr>
              <w:rStyle w:val="34"/>
            </w:rPr>
            <w:t>106. 一般公共预算教育经费增长与财政经常性收入增长比较情况（百分点）</w:t>
          </w:r>
          <w:r>
            <w:tab/>
          </w:r>
          <w:r>
            <w:fldChar w:fldCharType="begin"/>
          </w:r>
          <w:r>
            <w:instrText xml:space="preserve"> PAGEREF _Toc59961215 \h </w:instrText>
          </w:r>
          <w:r>
            <w:fldChar w:fldCharType="separate"/>
          </w:r>
          <w:r>
            <w:t>72</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"_Toc59961216" </w:instrText>
          </w:r>
          <w:r>
            <w:fldChar w:fldCharType="separate"/>
          </w:r>
          <w:r>
            <w:rPr>
              <w:rStyle w:val="34"/>
            </w:rPr>
            <w:t>107. 生均一般公共预算教育事业费（元/生）</w:t>
          </w:r>
          <w:r>
            <w:tab/>
          </w:r>
          <w:r>
            <w:fldChar w:fldCharType="begin"/>
          </w:r>
          <w:r>
            <w:instrText xml:space="preserve"> PAGEREF _Toc59961216 \h </w:instrText>
          </w:r>
          <w:r>
            <w:fldChar w:fldCharType="separate"/>
          </w:r>
          <w:r>
            <w:t>73</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"_Toc59961217" </w:instrText>
          </w:r>
          <w:r>
            <w:fldChar w:fldCharType="separate"/>
          </w:r>
          <w:r>
            <w:rPr>
              <w:rStyle w:val="34"/>
            </w:rPr>
            <w:t>108. 生均一般公共预算公用经费（元/生）</w:t>
          </w:r>
          <w:r>
            <w:tab/>
          </w:r>
          <w:r>
            <w:fldChar w:fldCharType="begin"/>
          </w:r>
          <w:r>
            <w:instrText xml:space="preserve"> PAGEREF _Toc59961217 \h </w:instrText>
          </w:r>
          <w:r>
            <w:fldChar w:fldCharType="separate"/>
          </w:r>
          <w:r>
            <w:t>74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"_Toc59961218" </w:instrText>
          </w:r>
          <w:r>
            <w:fldChar w:fldCharType="separate"/>
          </w:r>
          <w:r>
            <w:rPr>
              <w:rStyle w:val="34"/>
            </w:rPr>
            <w:t>109. 生均教育经费指数（%）</w:t>
          </w:r>
          <w:r>
            <w:tab/>
          </w:r>
          <w:r>
            <w:fldChar w:fldCharType="begin"/>
          </w:r>
          <w:r>
            <w:instrText xml:space="preserve"> PAGEREF _Toc59961218 \h </w:instrText>
          </w:r>
          <w:r>
            <w:fldChar w:fldCharType="separate"/>
          </w:r>
          <w:r>
            <w:t>74</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"_Toc59961219" </w:instrText>
          </w:r>
          <w:r>
            <w:fldChar w:fldCharType="separate"/>
          </w:r>
          <w:r>
            <w:rPr>
              <w:rStyle w:val="34"/>
            </w:rPr>
            <w:t>110. 捐赠收入及民办学校中举办者投入占教育总经费的比例（%）</w:t>
          </w:r>
          <w:r>
            <w:tab/>
          </w:r>
          <w:r>
            <w:fldChar w:fldCharType="begin"/>
          </w:r>
          <w:r>
            <w:instrText xml:space="preserve"> PAGEREF _Toc59961219 \h </w:instrText>
          </w:r>
          <w:r>
            <w:fldChar w:fldCharType="separate"/>
          </w:r>
          <w:r>
            <w:t>75</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"_Toc59961220" </w:instrText>
          </w:r>
          <w:r>
            <w:fldChar w:fldCharType="separate"/>
          </w:r>
          <w:r>
            <w:rPr>
              <w:rStyle w:val="34"/>
            </w:rPr>
            <w:t>111. 普通高校获得的社会捐赠金额（万元）</w:t>
          </w:r>
          <w:r>
            <w:tab/>
          </w:r>
          <w:r>
            <w:fldChar w:fldCharType="begin"/>
          </w:r>
          <w:r>
            <w:instrText xml:space="preserve"> PAGEREF _Toc59961220 \h </w:instrText>
          </w:r>
          <w:r>
            <w:fldChar w:fldCharType="separate"/>
          </w:r>
          <w:r>
            <w:t>76</w:t>
          </w:r>
          <w:r>
            <w:fldChar w:fldCharType="end"/>
          </w:r>
          <w:r>
            <w:fldChar w:fldCharType="end"/>
          </w:r>
        </w:p>
        <w:p>
          <w:pPr>
            <w:pStyle w:val="19"/>
            <w:rPr>
              <w:rFonts w:asciiTheme="minorHAnsi" w:hAnsiTheme="minorHAnsi" w:eastAsiaTheme="minorEastAsia" w:cstheme="minorBidi"/>
              <w:b w:val="0"/>
              <w:kern w:val="2"/>
              <w:sz w:val="21"/>
            </w:rPr>
          </w:pPr>
          <w:r>
            <w:fldChar w:fldCharType="begin"/>
          </w:r>
          <w:r>
            <w:instrText xml:space="preserve"> HYPERLINK \l "_Toc59961221" </w:instrText>
          </w:r>
          <w:r>
            <w:fldChar w:fldCharType="separate"/>
          </w:r>
          <w:r>
            <w:rPr>
              <w:rStyle w:val="34"/>
            </w:rPr>
            <w:t>五、科学研究</w:t>
          </w:r>
          <w:r>
            <w:tab/>
          </w:r>
          <w:r>
            <w:fldChar w:fldCharType="begin"/>
          </w:r>
          <w:r>
            <w:instrText xml:space="preserve"> PAGEREF _Toc59961221 \h </w:instrText>
          </w:r>
          <w:r>
            <w:fldChar w:fldCharType="separate"/>
          </w:r>
          <w:r>
            <w:t>76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"_Toc59961222" </w:instrText>
          </w:r>
          <w:r>
            <w:fldChar w:fldCharType="separate"/>
          </w:r>
          <w:r>
            <w:rPr>
              <w:rStyle w:val="34"/>
            </w:rPr>
            <w:t>112. 普通高校出版著作数（部）</w:t>
          </w:r>
          <w:r>
            <w:tab/>
          </w:r>
          <w:r>
            <w:fldChar w:fldCharType="begin"/>
          </w:r>
          <w:r>
            <w:instrText xml:space="preserve"> PAGEREF _Toc59961222 \h </w:instrText>
          </w:r>
          <w:r>
            <w:fldChar w:fldCharType="separate"/>
          </w:r>
          <w:r>
            <w:t>76</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"_Toc59961223" </w:instrText>
          </w:r>
          <w:r>
            <w:fldChar w:fldCharType="separate"/>
          </w:r>
          <w:r>
            <w:rPr>
              <w:rStyle w:val="34"/>
            </w:rPr>
            <w:t>113. 普通高校发表论文数（篇）</w:t>
          </w:r>
          <w:r>
            <w:tab/>
          </w:r>
          <w:r>
            <w:fldChar w:fldCharType="begin"/>
          </w:r>
          <w:r>
            <w:instrText xml:space="preserve"> PAGEREF _Toc59961223 \h </w:instrText>
          </w:r>
          <w:r>
            <w:fldChar w:fldCharType="separate"/>
          </w:r>
          <w:r>
            <w:t>77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"_Toc59961224" </w:instrText>
          </w:r>
          <w:r>
            <w:fldChar w:fldCharType="separate"/>
          </w:r>
          <w:r>
            <w:rPr>
              <w:rStyle w:val="34"/>
            </w:rPr>
            <w:t>114. 普通高校知识产权授权数（件）</w:t>
          </w:r>
          <w:r>
            <w:tab/>
          </w:r>
          <w:r>
            <w:fldChar w:fldCharType="begin"/>
          </w:r>
          <w:r>
            <w:instrText xml:space="preserve"> PAGEREF _Toc59961224 \h </w:instrText>
          </w:r>
          <w:r>
            <w:fldChar w:fldCharType="separate"/>
          </w:r>
          <w:r>
            <w:t>77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"_Toc59961225" </w:instrText>
          </w:r>
          <w:r>
            <w:fldChar w:fldCharType="separate"/>
          </w:r>
          <w:r>
            <w:rPr>
              <w:rStyle w:val="34"/>
            </w:rPr>
            <w:t>115. 普通高校获省部级以上奖励的成果数（项）</w:t>
          </w:r>
          <w:r>
            <w:tab/>
          </w:r>
          <w:r>
            <w:fldChar w:fldCharType="begin"/>
          </w:r>
          <w:r>
            <w:instrText xml:space="preserve"> PAGEREF _Toc59961225 \h </w:instrText>
          </w:r>
          <w:r>
            <w:fldChar w:fldCharType="separate"/>
          </w:r>
          <w:r>
            <w:t>77</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"_Toc59961226" </w:instrText>
          </w:r>
          <w:r>
            <w:fldChar w:fldCharType="separate"/>
          </w:r>
          <w:r>
            <w:rPr>
              <w:rStyle w:val="34"/>
            </w:rPr>
            <w:t>116. 普通高校技术转让收入（万元）</w:t>
          </w:r>
          <w:r>
            <w:tab/>
          </w:r>
          <w:r>
            <w:fldChar w:fldCharType="begin"/>
          </w:r>
          <w:r>
            <w:instrText xml:space="preserve"> PAGEREF _Toc59961226 \h </w:instrText>
          </w:r>
          <w:r>
            <w:fldChar w:fldCharType="separate"/>
          </w:r>
          <w:r>
            <w:t>78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"_Toc59961227" </w:instrText>
          </w:r>
          <w:r>
            <w:fldChar w:fldCharType="separate"/>
          </w:r>
          <w:r>
            <w:rPr>
              <w:rStyle w:val="34"/>
            </w:rPr>
            <w:t>117. 普通高校R&amp;D折合全时人员数（人年）</w:t>
          </w:r>
          <w:r>
            <w:tab/>
          </w:r>
          <w:r>
            <w:fldChar w:fldCharType="begin"/>
          </w:r>
          <w:r>
            <w:instrText xml:space="preserve"> PAGEREF _Toc59961227 \h </w:instrText>
          </w:r>
          <w:r>
            <w:fldChar w:fldCharType="separate"/>
          </w:r>
          <w:r>
            <w:t>78</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"_Toc59961228" </w:instrText>
          </w:r>
          <w:r>
            <w:fldChar w:fldCharType="separate"/>
          </w:r>
          <w:r>
            <w:rPr>
              <w:rStyle w:val="34"/>
            </w:rPr>
            <w:t>118. 普通高校参与项目（课题）的研究生人数（人）</w:t>
          </w:r>
          <w:r>
            <w:tab/>
          </w:r>
          <w:r>
            <w:fldChar w:fldCharType="begin"/>
          </w:r>
          <w:r>
            <w:instrText xml:space="preserve"> PAGEREF _Toc59961228 \h </w:instrText>
          </w:r>
          <w:r>
            <w:fldChar w:fldCharType="separate"/>
          </w:r>
          <w:r>
            <w:t>79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"_Toc59961229" </w:instrText>
          </w:r>
          <w:r>
            <w:fldChar w:fldCharType="separate"/>
          </w:r>
          <w:r>
            <w:rPr>
              <w:rStyle w:val="34"/>
            </w:rPr>
            <w:t>119. 普通高校科技或人文社科经费拨入总额（万元）</w:t>
          </w:r>
          <w:r>
            <w:tab/>
          </w:r>
          <w:r>
            <w:fldChar w:fldCharType="begin"/>
          </w:r>
          <w:r>
            <w:instrText xml:space="preserve"> PAGEREF _Toc59961229 \h </w:instrText>
          </w:r>
          <w:r>
            <w:fldChar w:fldCharType="separate"/>
          </w:r>
          <w:r>
            <w:t>79</w:t>
          </w:r>
          <w:r>
            <w:fldChar w:fldCharType="end"/>
          </w:r>
          <w:r>
            <w:fldChar w:fldCharType="end"/>
          </w:r>
        </w:p>
        <w:p>
          <w:pPr>
            <w:pStyle w:val="24"/>
            <w:rPr>
              <w:rFonts w:asciiTheme="minorHAnsi" w:hAnsiTheme="minorHAnsi" w:eastAsiaTheme="minorEastAsia" w:cstheme="minorBidi"/>
              <w:kern w:val="2"/>
              <w:sz w:val="21"/>
            </w:rPr>
          </w:pPr>
          <w:r>
            <w:fldChar w:fldCharType="begin"/>
          </w:r>
          <w:r>
            <w:instrText xml:space="preserve"> HYPERLINK \l "_Toc59961230" </w:instrText>
          </w:r>
          <w:r>
            <w:fldChar w:fldCharType="separate"/>
          </w:r>
          <w:r>
            <w:rPr>
              <w:rStyle w:val="34"/>
            </w:rPr>
            <w:t>120. 普通高校人文与社会科学研究与咨询报告被采纳数（篇）</w:t>
          </w:r>
          <w:r>
            <w:tab/>
          </w:r>
          <w:r>
            <w:fldChar w:fldCharType="begin"/>
          </w:r>
          <w:r>
            <w:instrText xml:space="preserve"> PAGEREF _Toc59961230 \h </w:instrText>
          </w:r>
          <w:r>
            <w:fldChar w:fldCharType="separate"/>
          </w:r>
          <w:r>
            <w:t>80</w:t>
          </w:r>
          <w:r>
            <w:fldChar w:fldCharType="end"/>
          </w:r>
          <w:r>
            <w:fldChar w:fldCharType="end"/>
          </w:r>
        </w:p>
        <w:p>
          <w:pPr>
            <w:rPr>
              <w:color w:val="000000" w:themeColor="text1"/>
              <w14:textFill>
                <w14:solidFill>
                  <w14:schemeClr w14:val="tx1"/>
                </w14:solidFill>
              </w14:textFill>
            </w:rPr>
          </w:pPr>
          <w:r>
            <w:rPr>
              <w:color w:val="000000" w:themeColor="text1"/>
              <w:lang w:val="zh-CN"/>
              <w14:textFill>
                <w14:solidFill>
                  <w14:schemeClr w14:val="tx1"/>
                </w14:solidFill>
              </w14:textFill>
            </w:rPr>
            <w:fldChar w:fldCharType="end"/>
          </w:r>
        </w:p>
      </w:sdtContent>
    </w:sdt>
    <w:p>
      <w:pPr>
        <w:rPr>
          <w:color w:val="000000" w:themeColor="text1"/>
          <w14:textFill>
            <w14:solidFill>
              <w14:schemeClr w14:val="tx1"/>
            </w14:solidFill>
          </w14:textFill>
        </w:rPr>
        <w:sectPr>
          <w:footerReference r:id="rId12" w:type="default"/>
          <w:endnotePr>
            <w:numFmt w:val="decimal"/>
          </w:endnotePr>
          <w:pgSz w:w="11906" w:h="16838"/>
          <w:pgMar w:top="1134" w:right="1134" w:bottom="1134" w:left="1134" w:header="851" w:footer="992" w:gutter="0"/>
          <w:pgNumType w:fmt="upperRoman" w:start="1"/>
          <w:cols w:space="425" w:num="1"/>
          <w:docGrid w:type="lines" w:linePitch="326" w:charSpace="0"/>
        </w:sectPr>
      </w:pPr>
    </w:p>
    <w:p>
      <w:pPr>
        <w:pStyle w:val="2"/>
        <w:rPr>
          <w:color w:val="000000" w:themeColor="text1"/>
          <w14:textFill>
            <w14:solidFill>
              <w14:schemeClr w14:val="tx1"/>
            </w14:solidFill>
          </w14:textFill>
        </w:rPr>
      </w:pPr>
      <w:bookmarkStart w:id="1" w:name="_Toc9848735"/>
      <w:bookmarkStart w:id="2" w:name="_Toc59961101"/>
      <w:r>
        <w:rPr>
          <w:rFonts w:hint="eastAsia"/>
          <w:color w:val="000000" w:themeColor="text1"/>
          <w14:textFill>
            <w14:solidFill>
              <w14:schemeClr w14:val="tx1"/>
            </w14:solidFill>
          </w14:textFill>
        </w:rPr>
        <w:t>一、综合教育程度</w:t>
      </w:r>
      <w:bookmarkEnd w:id="1"/>
      <w:bookmarkEnd w:id="2"/>
    </w:p>
    <w:p>
      <w:pPr>
        <w:pStyle w:val="3"/>
        <w:rPr>
          <w:color w:val="000000" w:themeColor="text1"/>
          <w14:textFill>
            <w14:solidFill>
              <w14:schemeClr w14:val="tx1"/>
            </w14:solidFill>
          </w14:textFill>
        </w:rPr>
      </w:pPr>
      <w:bookmarkStart w:id="3" w:name="_Toc398192877"/>
      <w:bookmarkStart w:id="4" w:name="_Toc59961102"/>
      <w:bookmarkStart w:id="5" w:name="_Toc9848737"/>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国家财政性</w:t>
      </w:r>
      <w:r>
        <w:rPr>
          <w:color w:val="000000" w:themeColor="text1"/>
          <w14:textFill>
            <w14:solidFill>
              <w14:schemeClr w14:val="tx1"/>
            </w14:solidFill>
          </w14:textFill>
        </w:rPr>
        <w:t>教育经费占国内生产总值比例（%）</w:t>
      </w:r>
      <w:bookmarkEnd w:id="3"/>
      <w:bookmarkEnd w:id="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国家财政性教育经费占国内生产总值比例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是指本年度国家财政性教育经费</w:t>
      </w:r>
      <w:r>
        <w:rPr>
          <w:rFonts w:hint="eastAsia"/>
          <w:color w:val="000000" w:themeColor="text1"/>
          <w14:textFill>
            <w14:solidFill>
              <w14:schemeClr w14:val="tx1"/>
            </w14:solidFill>
          </w14:textFill>
        </w:rPr>
        <w:t>占</w:t>
      </w:r>
      <w:r>
        <w:rPr>
          <w:color w:val="000000" w:themeColor="text1"/>
          <w14:textFill>
            <w14:solidFill>
              <w14:schemeClr w14:val="tx1"/>
            </w14:solidFill>
          </w14:textFill>
        </w:rPr>
        <w:t>本年度国内生产总值的百分比。国家财政性教育经费</w:t>
      </w:r>
      <w:r>
        <w:rPr>
          <w:rFonts w:hint="eastAsia"/>
          <w:color w:val="000000" w:themeColor="text1"/>
          <w14:textFill>
            <w14:solidFill>
              <w14:schemeClr w14:val="tx1"/>
            </w14:solidFill>
          </w14:textFill>
        </w:rPr>
        <w:t>指学校（单位）取得的所有属于财政性质的经费。包括一般公共预算安排的教育经费，政府性基金预算安排的教育经费，国有及国有控股企业办学中的企业拨款，校办产业和社会服务收入用于教育的经费。其中，国有及国有控股企业办学中的企业拨款是指中央和地方所属企业在企业营业外资金列支或企业自有资金列支，并实际拨付所属学校的办学经费；校办产业和社会服务收入用于教育的经费是指非民办学校举办的校办产业和各种经营取得的收益及投资收益中用于补充教育经费的部分。</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w:t>
      </w:r>
      <w:r>
        <w:rPr>
          <w:rFonts w:hint="eastAsia"/>
          <w:color w:val="000000" w:themeColor="text1"/>
          <w14:textFill>
            <w14:solidFill>
              <w14:schemeClr w14:val="tx1"/>
            </w14:solidFill>
          </w14:textFill>
        </w:rPr>
        <w:t>衡量国家财政性</w:t>
      </w:r>
      <w:r>
        <w:rPr>
          <w:color w:val="000000" w:themeColor="text1"/>
          <w14:textFill>
            <w14:solidFill>
              <w14:schemeClr w14:val="tx1"/>
            </w14:solidFill>
          </w14:textFill>
        </w:rPr>
        <w:t>教育经费投入总量情况。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国家财政性</w:t>
      </w:r>
      <w:r>
        <w:rPr>
          <w:color w:val="000000" w:themeColor="text1"/>
          <w14:textFill>
            <w14:solidFill>
              <w14:schemeClr w14:val="tx1"/>
            </w14:solidFill>
          </w14:textFill>
        </w:rPr>
        <w:t>教育经费占国内生产总值比例=本年度</w:t>
      </w:r>
      <w:r>
        <w:rPr>
          <w:rFonts w:hint="eastAsia"/>
          <w:color w:val="000000" w:themeColor="text1"/>
          <w14:textFill>
            <w14:solidFill>
              <w14:schemeClr w14:val="tx1"/>
            </w14:solidFill>
          </w14:textFill>
        </w:rPr>
        <w:t>国家财政性</w:t>
      </w:r>
      <w:r>
        <w:rPr>
          <w:color w:val="000000" w:themeColor="text1"/>
          <w14:textFill>
            <w14:solidFill>
              <w14:schemeClr w14:val="tx1"/>
            </w14:solidFill>
          </w14:textFill>
        </w:rPr>
        <w:t>教育经费/本年度国内生产总值*100%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教育经费统计、中国统计年鉴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一般来说，国家财政性教育经费占国内生产总值比例高，表明政府对教育投入的重视程度高。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政府部门对于教育的投入</w:t>
      </w:r>
      <w:r>
        <w:rPr>
          <w:rFonts w:hint="eastAsia"/>
          <w:color w:val="000000" w:themeColor="text1"/>
          <w14:textFill>
            <w14:solidFill>
              <w14:schemeClr w14:val="tx1"/>
            </w14:solidFill>
          </w14:textFill>
        </w:rPr>
        <w:t>的情况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但不能体现教育经费利用的效用情况。</w:t>
      </w:r>
    </w:p>
    <w:p>
      <w:pPr>
        <w:pStyle w:val="3"/>
        <w:rPr>
          <w:color w:val="000000" w:themeColor="text1"/>
          <w14:textFill>
            <w14:solidFill>
              <w14:schemeClr w14:val="tx1"/>
            </w14:solidFill>
          </w14:textFill>
        </w:rPr>
      </w:pPr>
      <w:bookmarkStart w:id="6" w:name="_Toc59961103"/>
      <w:bookmarkStart w:id="7" w:name="_Toc54862020"/>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人口平均受教育年限（年）</w:t>
      </w:r>
      <w:bookmarkEnd w:id="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某组人口</w:t>
      </w:r>
      <w:r>
        <w:rPr>
          <w:color w:val="000000" w:themeColor="text1"/>
          <w14:textFill>
            <w14:solidFill>
              <w14:schemeClr w14:val="tx1"/>
            </w14:solidFill>
          </w14:textFill>
        </w:rPr>
        <w:t>人均接受学历教育（包括成人学历教育，不包括各种非学历培训）的年数。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该指标提供人口素质的重要信息，反映教育对国民素质的提升作用，可用作教育效益类指标。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某组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每个人接受学历教育年限之和/</w:t>
      </w:r>
      <w:r>
        <w:rPr>
          <w:rFonts w:hint="eastAsia"/>
          <w:color w:val="000000" w:themeColor="text1"/>
          <w14:textFill>
            <w14:solidFill>
              <w14:schemeClr w14:val="tx1"/>
            </w14:solidFill>
          </w14:textFill>
        </w:rPr>
        <w:t>该组</w:t>
      </w:r>
      <w:r>
        <w:rPr>
          <w:color w:val="000000" w:themeColor="text1"/>
          <w14:textFill>
            <w14:solidFill>
              <w14:schemeClr w14:val="tx1"/>
            </w14:solidFill>
          </w14:textFill>
        </w:rPr>
        <w:t>人口总数，可表述为下面公式：</w:t>
      </w:r>
    </w:p>
    <w:p>
      <w:pPr>
        <w:ind w:firstLine="0" w:firstLineChars="0"/>
        <w:rPr>
          <w:color w:val="000000" w:themeColor="text1"/>
          <w14:textFill>
            <w14:solidFill>
              <w14:schemeClr w14:val="tx1"/>
            </w14:solidFill>
          </w14:textFill>
        </w:rPr>
      </w:pPr>
      <m:oMathPara>
        <m:oMath>
          <m:acc>
            <m:accPr>
              <m:chr m:val="̅"/>
              <m:ctrlPr>
                <w:rPr>
                  <w:rFonts w:ascii="Cambria Math" w:hAnsi="Cambria Math"/>
                  <w:color w:val="000000" w:themeColor="text1"/>
                  <w14:textFill>
                    <w14:solidFill>
                      <w14:schemeClr w14:val="tx1"/>
                    </w14:solidFill>
                  </w14:textFill>
                </w:rPr>
              </m:ctrlPr>
            </m:accPr>
            <m:e>
              <m:r>
                <w:rPr>
                  <w:rFonts w:ascii="Cambria Math" w:hAnsi="Cambria Math"/>
                  <w:color w:val="000000" w:themeColor="text1"/>
                  <w14:textFill>
                    <w14:solidFill>
                      <w14:schemeClr w14:val="tx1"/>
                    </w14:solidFill>
                  </w14:textFill>
                </w:rPr>
                <m:t>Y</m:t>
              </m:r>
              <m:ctrlPr>
                <w:rPr>
                  <w:rFonts w:ascii="Cambria Math" w:hAnsi="Cambria Math"/>
                  <w:color w:val="000000" w:themeColor="text1"/>
                  <w14:textFill>
                    <w14:solidFill>
                      <w14:schemeClr w14:val="tx1"/>
                    </w14:solidFill>
                  </w14:textFill>
                </w:rPr>
              </m:ctrlPr>
            </m:e>
          </m:acc>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nary>
                <m:naryPr>
                  <m:chr m:val="∑"/>
                  <m:limLoc m:val="undOvr"/>
                  <m:subHide m:val="1"/>
                  <m:supHide m:val="1"/>
                  <m:ctrlPr>
                    <w:rPr>
                      <w:rFonts w:ascii="Cambria Math" w:hAnsi="Cambria Math"/>
                      <w:color w:val="000000" w:themeColor="text1"/>
                      <w14:textFill>
                        <w14:solidFill>
                          <w14:schemeClr w14:val="tx1"/>
                        </w14:solidFill>
                      </w14:textFill>
                    </w:rPr>
                  </m:ctrlPr>
                </m:naryPr>
                <m:sub>
                  <m:ctrlPr>
                    <w:rPr>
                      <w:rFonts w:ascii="Cambria Math" w:hAnsi="Cambria Math"/>
                      <w:color w:val="000000" w:themeColor="text1"/>
                      <w14:textFill>
                        <w14:solidFill>
                          <w14:schemeClr w14:val="tx1"/>
                        </w14:solidFill>
                      </w14:textFill>
                    </w:rPr>
                  </m:ctrlPr>
                </m:sub>
                <m:sup>
                  <m:ctrlPr>
                    <w:rPr>
                      <w:rFonts w:ascii="Cambria Math" w:hAnsi="Cambria Math"/>
                      <w:color w:val="000000" w:themeColor="text1"/>
                      <w14:textFill>
                        <w14:solidFill>
                          <w14:schemeClr w14:val="tx1"/>
                        </w14:solidFill>
                      </w14:textFill>
                    </w:rPr>
                  </m:ctrlPr>
                </m:sup>
                <m:e>
                  <m:sSub>
                    <m:sSubPr>
                      <m:ctrlPr>
                        <w:rPr>
                          <w:rFonts w:ascii="Cambria Math" w:hAnsi="Cambria Math"/>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w:rPr>
                          <w:rFonts w:ascii="Cambria Math" w:hAnsi="Cambria Math"/>
                          <w:color w:val="000000" w:themeColor="text1"/>
                          <w14:textFill>
                            <w14:solidFill>
                              <w14:schemeClr w14:val="tx1"/>
                            </w14:solidFill>
                          </w14:textFill>
                        </w:rPr>
                        <m:t>E</m:t>
                      </m:r>
                      <m:ctrlPr>
                        <w:rPr>
                          <w:rFonts w:ascii="Cambria Math" w:hAnsi="Cambria Math"/>
                          <w:color w:val="000000" w:themeColor="text1"/>
                          <w14:textFill>
                            <w14:solidFill>
                              <w14:schemeClr w14:val="tx1"/>
                            </w14:solidFill>
                          </w14:textFill>
                        </w:rPr>
                      </m:ctrlPr>
                    </m:e>
                    <m:sub>
                      <m: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nary>
              <m:ctrlPr>
                <w:rPr>
                  <w:rFonts w:ascii="Cambria Math" w:hAnsi="Cambria Math"/>
                  <w:color w:val="000000" w:themeColor="text1"/>
                  <w14:textFill>
                    <w14:solidFill>
                      <w14:schemeClr w14:val="tx1"/>
                    </w14:solidFill>
                  </w14:textFill>
                </w:rPr>
              </m:ctrlPr>
            </m:num>
            <m:den>
              <m: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den>
          </m:f>
        </m:oMath>
      </m:oMathPara>
    </w:p>
    <w:p>
      <w:pPr>
        <w:autoSpaceDE w:val="0"/>
        <w:autoSpaceDN w:val="0"/>
        <w:spacing w:line="360" w:lineRule="exact"/>
        <w:textAlignment w:val="bottom"/>
        <w:rPr>
          <w:color w:val="000000" w:themeColor="text1"/>
          <w14:textFill>
            <w14:solidFill>
              <w14:schemeClr w14:val="tx1"/>
            </w14:solidFill>
          </w14:textFill>
        </w:rPr>
      </w:pPr>
      <w:r>
        <w:rPr>
          <w:color w:val="000000" w:themeColor="text1"/>
          <w14:textFill>
            <w14:solidFill>
              <w14:schemeClr w14:val="tx1"/>
            </w14:solidFill>
          </w14:textFill>
        </w:rPr>
        <w:t>式中</w:t>
      </w:r>
      <m:oMath>
        <m:acc>
          <m:accPr>
            <m:chr m:val="̅"/>
            <m:ctrlPr>
              <w:rPr>
                <w:rFonts w:ascii="Cambria Math" w:hAnsi="Cambria Math" w:cs="宋体"/>
                <w:i/>
                <w:color w:val="000000" w:themeColor="text1"/>
                <w:lang w:val="zh-CN"/>
                <w14:textFill>
                  <w14:solidFill>
                    <w14:schemeClr w14:val="tx1"/>
                  </w14:solidFill>
                </w14:textFill>
              </w:rPr>
            </m:ctrlPr>
          </m:accPr>
          <m:e>
            <m:r>
              <w:rPr>
                <w:rFonts w:ascii="Cambria Math" w:hAnsi="Cambria Math" w:cs="宋体"/>
                <w:color w:val="000000" w:themeColor="text1"/>
                <w:lang w:val="zh-CN"/>
                <w14:textFill>
                  <w14:solidFill>
                    <w14:schemeClr w14:val="tx1"/>
                  </w14:solidFill>
                </w14:textFill>
              </w:rPr>
              <m:t>Y</m:t>
            </m:r>
            <m:ctrlPr>
              <w:rPr>
                <w:rFonts w:ascii="Cambria Math" w:hAnsi="Cambria Math" w:cs="宋体"/>
                <w:i/>
                <w:color w:val="000000" w:themeColor="text1"/>
                <w:lang w:val="zh-CN"/>
                <w14:textFill>
                  <w14:solidFill>
                    <w14:schemeClr w14:val="tx1"/>
                  </w14:solidFill>
                </w14:textFill>
              </w:rPr>
            </m:ctrlPr>
          </m:e>
        </m:acc>
      </m:oMath>
      <w:r>
        <w:rPr>
          <w:color w:val="000000" w:themeColor="text1"/>
          <w14:textFill>
            <w14:solidFill>
              <w14:schemeClr w14:val="tx1"/>
            </w14:solidFill>
          </w14:textFill>
        </w:rPr>
        <w:t>为人口平均受教育年限，</w:t>
      </w:r>
      <w:r>
        <w:rPr>
          <w:i/>
          <w:color w:val="000000" w:themeColor="text1"/>
          <w14:textFill>
            <w14:solidFill>
              <w14:schemeClr w14:val="tx1"/>
            </w14:solidFill>
          </w14:textFill>
        </w:rPr>
        <w:t>P</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某组</w:t>
      </w:r>
      <w:r>
        <w:rPr>
          <w:color w:val="000000" w:themeColor="text1"/>
          <w14:textFill>
            <w14:solidFill>
              <w14:schemeClr w14:val="tx1"/>
            </w14:solidFill>
          </w14:textFill>
        </w:rPr>
        <w:t>人口合计数，</w:t>
      </w:r>
      <w:r>
        <w:rPr>
          <w:rFonts w:hint="eastAsia"/>
          <w:i/>
          <w:color w:val="000000" w:themeColor="text1"/>
          <w14:textFill>
            <w14:solidFill>
              <w14:schemeClr w14:val="tx1"/>
            </w14:solidFill>
          </w14:textFill>
        </w:rPr>
        <w:t>P</w:t>
      </w:r>
      <w:r>
        <w:rPr>
          <w:rFonts w:hint="eastAsia"/>
          <w:i/>
          <w:color w:val="000000" w:themeColor="text1"/>
          <w:vertAlign w:val="subscript"/>
          <w14:textFill>
            <w14:solidFill>
              <w14:schemeClr w14:val="tx1"/>
            </w14:solidFill>
          </w14:textFill>
        </w:rPr>
        <w:t>i</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该组</w:t>
      </w:r>
      <w:r>
        <w:rPr>
          <w:color w:val="000000" w:themeColor="text1"/>
          <w14:textFill>
            <w14:solidFill>
              <w14:schemeClr w14:val="tx1"/>
            </w14:solidFill>
          </w14:textFill>
        </w:rPr>
        <w:t>人口中具有</w:t>
      </w:r>
      <w:r>
        <w:rPr>
          <w:i/>
          <w:color w:val="000000" w:themeColor="text1"/>
          <w14:textFill>
            <w14:solidFill>
              <w14:schemeClr w14:val="tx1"/>
            </w14:solidFill>
          </w14:textFill>
        </w:rPr>
        <w:t>i</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受教育程度</w:t>
      </w:r>
      <w:r>
        <w:rPr>
          <w:color w:val="000000" w:themeColor="text1"/>
          <w14:textFill>
            <w14:solidFill>
              <w14:schemeClr w14:val="tx1"/>
            </w14:solidFill>
          </w14:textFill>
        </w:rPr>
        <w:t>的人口数，</w:t>
      </w:r>
      <w:r>
        <w:rPr>
          <w:rFonts w:hint="eastAsia"/>
          <w:i/>
          <w:color w:val="000000" w:themeColor="text1"/>
          <w14:textFill>
            <w14:solidFill>
              <w14:schemeClr w14:val="tx1"/>
            </w14:solidFill>
          </w14:textFill>
        </w:rPr>
        <w:t>E</w:t>
      </w:r>
      <w:r>
        <w:rPr>
          <w:rFonts w:hint="eastAsia"/>
          <w:i/>
          <w:color w:val="000000" w:themeColor="text1"/>
          <w:vertAlign w:val="subscript"/>
          <w14:textFill>
            <w14:solidFill>
              <w14:schemeClr w14:val="tx1"/>
            </w14:solidFill>
          </w14:textFill>
        </w:rPr>
        <w:t>i</w:t>
      </w:r>
      <w:r>
        <w:rPr>
          <w:color w:val="000000" w:themeColor="text1"/>
          <w14:textFill>
            <w14:solidFill>
              <w14:schemeClr w14:val="tx1"/>
            </w14:solidFill>
          </w14:textFill>
        </w:rPr>
        <w:t>为具有</w:t>
      </w:r>
      <w:r>
        <w:rPr>
          <w:i/>
          <w:color w:val="000000" w:themeColor="text1"/>
          <w14:textFill>
            <w14:solidFill>
              <w14:schemeClr w14:val="tx1"/>
            </w14:solidFill>
          </w14:textFill>
        </w:rPr>
        <w:t>i</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受教育程度</w:t>
      </w:r>
      <w:r>
        <w:rPr>
          <w:color w:val="000000" w:themeColor="text1"/>
          <w14:textFill>
            <w14:solidFill>
              <w14:schemeClr w14:val="tx1"/>
            </w14:solidFill>
          </w14:textFill>
        </w:rPr>
        <w:t>人口的受教育年</w:t>
      </w:r>
      <w:r>
        <w:rPr>
          <w:rFonts w:hint="eastAsia"/>
          <w:color w:val="000000" w:themeColor="text1"/>
          <w14:textFill>
            <w14:solidFill>
              <w14:schemeClr w14:val="tx1"/>
            </w14:solidFill>
          </w14:textFill>
        </w:rPr>
        <w:t>系数。根据</w:t>
      </w:r>
      <w:r>
        <w:rPr>
          <w:rFonts w:hint="eastAsia" w:ascii="宋体" w:cs="宋体"/>
          <w:color w:val="000000" w:themeColor="text1"/>
          <w:lang w:val="zh-CN"/>
          <w14:textFill>
            <w14:solidFill>
              <w14:schemeClr w14:val="tx1"/>
            </w14:solidFill>
          </w14:textFill>
        </w:rPr>
        <w:t>我国现行学制，</w:t>
      </w:r>
      <w:r>
        <w:rPr>
          <w:rFonts w:hint="eastAsia"/>
          <w:color w:val="000000" w:themeColor="text1"/>
          <w14:textFill>
            <w14:solidFill>
              <w14:schemeClr w14:val="tx1"/>
            </w14:solidFill>
          </w14:textFill>
        </w:rPr>
        <w:t>各级教育的受教育年系数</w:t>
      </w:r>
      <w:r>
        <w:rPr>
          <w:rFonts w:hint="eastAsia" w:ascii="宋体" w:cs="宋体"/>
          <w:color w:val="000000" w:themeColor="text1"/>
          <w:lang w:val="zh-CN"/>
          <w14:textFill>
            <w14:solidFill>
              <w14:schemeClr w14:val="tx1"/>
            </w14:solidFill>
          </w14:textFill>
        </w:rPr>
        <w:t>设定为：小学</w:t>
      </w:r>
      <w:r>
        <w:rPr>
          <w:color w:val="000000" w:themeColor="text1"/>
          <w14:textFill>
            <w14:solidFill>
              <w14:schemeClr w14:val="tx1"/>
            </w14:solidFill>
          </w14:textFill>
        </w:rPr>
        <w:t>6</w:t>
      </w:r>
      <w:r>
        <w:rPr>
          <w:rFonts w:hint="eastAsia" w:ascii="宋体" w:cs="宋体"/>
          <w:color w:val="000000" w:themeColor="text1"/>
          <w:lang w:val="zh-CN"/>
          <w14:textFill>
            <w14:solidFill>
              <w14:schemeClr w14:val="tx1"/>
            </w14:solidFill>
          </w14:textFill>
        </w:rPr>
        <w:t>年、初中</w:t>
      </w:r>
      <w:r>
        <w:rPr>
          <w:color w:val="000000" w:themeColor="text1"/>
          <w14:textFill>
            <w14:solidFill>
              <w14:schemeClr w14:val="tx1"/>
            </w14:solidFill>
          </w14:textFill>
        </w:rPr>
        <w:t>9</w:t>
      </w:r>
      <w:r>
        <w:rPr>
          <w:rFonts w:hint="eastAsia" w:ascii="宋体" w:cs="宋体"/>
          <w:color w:val="000000" w:themeColor="text1"/>
          <w:lang w:val="zh-CN"/>
          <w14:textFill>
            <w14:solidFill>
              <w14:schemeClr w14:val="tx1"/>
            </w14:solidFill>
          </w14:textFill>
        </w:rPr>
        <w:t>年、高中（含中职）</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ascii="宋体" w:cs="宋体"/>
          <w:color w:val="000000" w:themeColor="text1"/>
          <w:lang w:val="zh-CN"/>
          <w14:textFill>
            <w14:solidFill>
              <w14:schemeClr w14:val="tx1"/>
            </w14:solidFill>
          </w14:textFill>
        </w:rPr>
        <w:t>年、大专及以上</w:t>
      </w:r>
      <w:r>
        <w:rPr>
          <w:color w:val="000000" w:themeColor="text1"/>
          <w14:textFill>
            <w14:solidFill>
              <w14:schemeClr w14:val="tx1"/>
            </w14:solidFill>
          </w14:textFill>
        </w:rPr>
        <w:t>16</w:t>
      </w:r>
      <w:r>
        <w:rPr>
          <w:rFonts w:hint="eastAsia" w:ascii="宋体" w:cs="宋体"/>
          <w:color w:val="000000" w:themeColor="text1"/>
          <w:lang w:val="zh-CN"/>
          <w14:textFill>
            <w14:solidFill>
              <w14:schemeClr w14:val="tx1"/>
            </w14:solidFill>
          </w14:textFill>
        </w:rPr>
        <w:t>年，文盲0年</w:t>
      </w:r>
      <w:r>
        <w:rPr>
          <w:rFonts w:hint="eastAsia"/>
          <w:color w:val="000000" w:themeColor="text1"/>
          <w14:textFill>
            <w14:solidFill>
              <w14:schemeClr w14:val="tx1"/>
            </w14:solidFill>
          </w14:textFill>
        </w:rPr>
        <w:t>。关于人口受教育程度的确定采用国家统计局标准，例如，接受的最高一级教育为中小学的，无论是否在校、毕业、肄业或辍学均记为相应受教育程度；接受的最高一级教育为大学专科或本科的，在普通高等学校学习的，</w:t>
      </w:r>
      <w:r>
        <w:rPr>
          <w:color w:val="000000" w:themeColor="text1"/>
          <w14:textFill>
            <w14:solidFill>
              <w14:schemeClr w14:val="tx1"/>
            </w14:solidFill>
          </w14:textFill>
        </w:rPr>
        <w:t>无论其是否在校、毕业、肄业或辍学</w:t>
      </w:r>
      <w:r>
        <w:rPr>
          <w:rFonts w:hint="eastAsia"/>
          <w:color w:val="000000" w:themeColor="text1"/>
          <w14:textFill>
            <w14:solidFill>
              <w14:schemeClr w14:val="tx1"/>
            </w14:solidFill>
          </w14:textFill>
        </w:rPr>
        <w:t>均记为相应受教育程度；接受的最高学历为专科或本科，但教育形式为成人、网络或自学考试的，只有毕业生记为相应受教育程度，而</w:t>
      </w:r>
      <w:r>
        <w:rPr>
          <w:color w:val="000000" w:themeColor="text1"/>
          <w14:textFill>
            <w14:solidFill>
              <w14:schemeClr w14:val="tx1"/>
            </w14:solidFill>
          </w14:textFill>
        </w:rPr>
        <w:t>肄业生、在校生</w:t>
      </w:r>
      <w:r>
        <w:rPr>
          <w:rFonts w:hint="eastAsia"/>
          <w:color w:val="000000" w:themeColor="text1"/>
          <w14:textFill>
            <w14:solidFill>
              <w14:schemeClr w14:val="tx1"/>
            </w14:solidFill>
          </w14:textFill>
        </w:rPr>
        <w:t>仍记为</w:t>
      </w:r>
      <w:r>
        <w:rPr>
          <w:color w:val="000000" w:themeColor="text1"/>
          <w14:textFill>
            <w14:solidFill>
              <w14:schemeClr w14:val="tx1"/>
            </w14:solidFill>
          </w14:textFill>
        </w:rPr>
        <w:t>原有受教育程度</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国家统计局人口统计</w:t>
      </w:r>
      <w:r>
        <w:rPr>
          <w:rFonts w:hint="eastAsia"/>
          <w:color w:val="000000" w:themeColor="text1"/>
          <w14:textFill>
            <w14:solidFill>
              <w14:schemeClr w14:val="tx1"/>
            </w14:solidFill>
          </w14:textFill>
        </w:rPr>
        <w:t>数据，教育事业统计数据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可以根据需要测算某组人口的平均受教育年限</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w:t>
      </w:r>
      <w:r>
        <w:rPr>
          <w:color w:val="000000" w:themeColor="text1"/>
          <w14:textFill>
            <w14:solidFill>
              <w14:schemeClr w14:val="tx1"/>
            </w14:solidFill>
          </w14:textFill>
        </w:rPr>
        <w:t>表明</w:t>
      </w:r>
      <w:r>
        <w:rPr>
          <w:rFonts w:hint="eastAsia"/>
          <w:color w:val="000000" w:themeColor="text1"/>
          <w14:textFill>
            <w14:solidFill>
              <w14:schemeClr w14:val="tx1"/>
            </w14:solidFill>
          </w14:textFill>
        </w:rPr>
        <w:t>某组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人均</w:t>
      </w:r>
      <w:r>
        <w:rPr>
          <w:color w:val="000000" w:themeColor="text1"/>
          <w14:textFill>
            <w14:solidFill>
              <w14:schemeClr w14:val="tx1"/>
            </w14:solidFill>
          </w14:textFill>
        </w:rPr>
        <w:t>接受学历教育的年限长，</w:t>
      </w:r>
      <w:r>
        <w:rPr>
          <w:rFonts w:hint="eastAsia"/>
          <w:color w:val="000000" w:themeColor="text1"/>
          <w14:textFill>
            <w14:solidFill>
              <w14:schemeClr w14:val="tx1"/>
            </w14:solidFill>
          </w14:textFill>
        </w:rPr>
        <w:t>人口受教育水平高</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该指标测算需要基于人口学历分布情况，而只有普查年份才能获得完整的人口学历分布数据，其他年份通常只能基于人口抽样调查数据进行估算，</w:t>
      </w:r>
      <w:r>
        <w:rPr>
          <w:color w:val="000000" w:themeColor="text1"/>
          <w14:textFill>
            <w14:solidFill>
              <w14:schemeClr w14:val="tx1"/>
            </w14:solidFill>
          </w14:textFill>
        </w:rPr>
        <w:t>指标值会受到所采用估算方法</w:t>
      </w:r>
      <w:r>
        <w:rPr>
          <w:rFonts w:hint="eastAsia"/>
          <w:color w:val="000000" w:themeColor="text1"/>
          <w14:textFill>
            <w14:solidFill>
              <w14:schemeClr w14:val="tx1"/>
            </w14:solidFill>
          </w14:textFill>
        </w:rPr>
        <w:t>以及人口抽样比与代表性的影响，结果可能存在较大误差。除普查年份外该指标仅建议国家级使用，地方若要测算需特别谨慎。此外，</w:t>
      </w:r>
      <w:r>
        <w:rPr>
          <w:color w:val="000000" w:themeColor="text1"/>
          <w14:textFill>
            <w14:solidFill>
              <w14:schemeClr w14:val="tx1"/>
            </w14:solidFill>
          </w14:textFill>
        </w:rPr>
        <w:t>根据学制确定</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受教育年</w:t>
      </w:r>
      <w:r>
        <w:rPr>
          <w:rFonts w:hint="eastAsia"/>
          <w:color w:val="000000" w:themeColor="text1"/>
          <w14:textFill>
            <w14:solidFill>
              <w14:schemeClr w14:val="tx1"/>
            </w14:solidFill>
          </w14:textFill>
        </w:rPr>
        <w:t>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也不是个人受教育年数的精确值，</w:t>
      </w:r>
      <w:r>
        <w:rPr>
          <w:rFonts w:hint="eastAsia"/>
          <w:color w:val="000000" w:themeColor="text1"/>
          <w14:textFill>
            <w14:solidFill>
              <w14:schemeClr w14:val="tx1"/>
            </w14:solidFill>
          </w14:textFill>
        </w:rPr>
        <w:t>没有区分在校、</w:t>
      </w:r>
      <w:r>
        <w:rPr>
          <w:color w:val="000000" w:themeColor="text1"/>
          <w14:textFill>
            <w14:solidFill>
              <w14:schemeClr w14:val="tx1"/>
            </w14:solidFill>
          </w14:textFill>
        </w:rPr>
        <w:t>辍学、毕业和肄业等状况</w:t>
      </w:r>
      <w:r>
        <w:rPr>
          <w:rFonts w:hint="eastAsia"/>
          <w:color w:val="000000" w:themeColor="text1"/>
          <w14:textFill>
            <w14:solidFill>
              <w14:schemeClr w14:val="tx1"/>
            </w14:solidFill>
          </w14:textFill>
        </w:rPr>
        <w:t>以及高等教育层级之</w:t>
      </w:r>
      <w:r>
        <w:rPr>
          <w:color w:val="000000" w:themeColor="text1"/>
          <w14:textFill>
            <w14:solidFill>
              <w14:schemeClr w14:val="tx1"/>
            </w14:solidFill>
          </w14:textFill>
        </w:rPr>
        <w:t>间的差异</w:t>
      </w:r>
      <w:r>
        <w:rPr>
          <w:rFonts w:hint="eastAsia"/>
          <w:color w:val="000000" w:themeColor="text1"/>
          <w14:textFill>
            <w14:solidFill>
              <w14:schemeClr w14:val="tx1"/>
            </w14:solidFill>
          </w14:textFill>
        </w:rPr>
        <w:t>，未来也可考虑根据各级教育的实际完成情况对受教育年系数有所校正。整体而言，某组人口平均受教育年限的测算结果通常并非精确值。</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劳动年龄人口平均受教育年限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=16～59岁人口每个人接受学历教育年限之和/16～59岁人口总数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注：劳动年龄人口通常指社会总人口中处于劳动年龄范围内的人口，劳动年龄范围会因地理自然条件和社会经济条件的不同而有所差别。当前我国通常将1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岁人口作为劳动年龄人口</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劳动年龄人口平均受教育年限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=20～59岁人口每个人接受学历教育年限之和/20～59岁人口总数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注：当前我国主要劳动年龄人口的年龄范围为</w:t>
      </w:r>
      <w:r>
        <w:rPr>
          <w:color w:val="000000" w:themeColor="text1"/>
          <w14:textFill>
            <w14:solidFill>
              <w14:schemeClr w14:val="tx1"/>
            </w14:solidFill>
          </w14:textFill>
        </w:rPr>
        <w:t>20～59岁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=15～64岁人口每个人接受学历教育年限之和/15～64岁人口总数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注：国际劳动年龄人口的年龄范围通常为</w:t>
      </w:r>
      <w:r>
        <w:rPr>
          <w:color w:val="000000" w:themeColor="text1"/>
          <w14:textFill>
            <w14:solidFill>
              <w14:schemeClr w14:val="tx1"/>
            </w14:solidFill>
          </w14:textFill>
        </w:rPr>
        <w:t>15～64岁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=25～64岁人口每个人接受学历教育年限之和/25～64岁人口总数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注：国际主要劳动年龄人口的年龄范围通常为</w:t>
      </w:r>
      <w:r>
        <w:rPr>
          <w:color w:val="000000" w:themeColor="text1"/>
          <w14:textFill>
            <w14:solidFill>
              <w14:schemeClr w14:val="tx1"/>
            </w14:solidFill>
          </w14:textFill>
        </w:rPr>
        <w:t>25～64岁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岁及以上</w:t>
      </w:r>
      <w:r>
        <w:rPr>
          <w:color w:val="000000" w:themeColor="text1"/>
          <w14:textFill>
            <w14:solidFill>
              <w14:schemeClr w14:val="tx1"/>
            </w14:solidFill>
          </w14:textFill>
        </w:rPr>
        <w:t>人口平均受教育年限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=25岁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人口每个人接受学历教育年限之和/25岁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注：联合国开发计划署（UNDP）的人类发展指数教育维度的代表指标之一。</w:t>
      </w:r>
    </w:p>
    <w:p>
      <w:pPr>
        <w:pStyle w:val="6"/>
        <w:ind w:firstLine="482"/>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新增劳动力平均受教育年限</w:t>
      </w:r>
      <w:r>
        <w:rPr>
          <w:rFonts w:hint="eastAsia"/>
          <w:color w:val="000000" w:themeColor="text1"/>
          <w14:textFill>
            <w14:solidFill>
              <w14:schemeClr w14:val="tx1"/>
            </w14:solidFill>
          </w14:textFill>
        </w:rPr>
        <w:t>（年）</w:t>
      </w:r>
    </w:p>
    <w:p>
      <w:pPr>
        <w:rPr>
          <w:color w:val="000000" w:themeColor="text1"/>
          <w14:textFill>
            <w14:solidFill>
              <w14:schemeClr w14:val="tx1"/>
            </w14:solidFill>
          </w14:textFill>
        </w:rPr>
      </w:pPr>
      <w:r>
        <w:rPr>
          <w:color w:val="000000" w:themeColor="text1"/>
          <w14:textFill>
            <w14:solidFill>
              <w14:schemeClr w14:val="tx1"/>
            </w14:solidFill>
          </w14:textFill>
        </w:rPr>
        <w:t>=新增劳动力每个人接受学历教育年限之和/新增劳动力人口数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新增劳动力是指16周岁</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以上初次进入劳动力市场</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在教育事业</w:t>
      </w:r>
      <w:r>
        <w:rPr>
          <w:rFonts w:hint="eastAsia"/>
          <w:color w:val="000000" w:themeColor="text1"/>
          <w14:textFill>
            <w14:solidFill>
              <w14:schemeClr w14:val="tx1"/>
            </w14:solidFill>
          </w14:textFill>
        </w:rPr>
        <w:t>和人口</w:t>
      </w:r>
      <w:r>
        <w:rPr>
          <w:color w:val="000000" w:themeColor="text1"/>
          <w14:textFill>
            <w14:solidFill>
              <w14:schemeClr w14:val="tx1"/>
            </w14:solidFill>
          </w14:textFill>
        </w:rPr>
        <w:t>数据中，新增劳动力数大致对应为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各级各类教育中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16周岁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的当年</w:t>
      </w:r>
      <w:r>
        <w:rPr>
          <w:rFonts w:hint="eastAsia"/>
          <w:color w:val="000000" w:themeColor="text1"/>
          <w14:textFill>
            <w14:solidFill>
              <w14:schemeClr w14:val="tx1"/>
            </w14:solidFill>
          </w14:textFill>
        </w:rPr>
        <w:t>离校</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未继续升学的毕业生</w:t>
      </w:r>
      <w:r>
        <w:rPr>
          <w:rFonts w:hint="eastAsia"/>
          <w:color w:val="000000" w:themeColor="text1"/>
          <w14:textFill>
            <w14:solidFill>
              <w14:schemeClr w14:val="tx1"/>
            </w14:solidFill>
          </w14:textFill>
        </w:rPr>
        <w:t>，以及不在校人口中当年满</w:t>
      </w:r>
      <w:r>
        <w:rPr>
          <w:color w:val="000000" w:themeColor="text1"/>
          <w14:textFill>
            <w14:solidFill>
              <w14:schemeClr w14:val="tx1"/>
            </w14:solidFill>
          </w14:textFill>
        </w:rPr>
        <w:t>16周岁人口的合计数</w:t>
      </w:r>
      <w:r>
        <w:rPr>
          <w:rFonts w:hint="eastAsia"/>
          <w:color w:val="000000" w:themeColor="text1"/>
          <w14:textFill>
            <w14:solidFill>
              <w14:schemeClr w14:val="tx1"/>
            </w14:solidFill>
          </w14:textFill>
        </w:rPr>
        <w:t>。该指标需要结合人口数据与教育事业统计数据综合分析。</w:t>
      </w:r>
    </w:p>
    <w:p>
      <w:pPr>
        <w:pStyle w:val="3"/>
        <w:rPr>
          <w:color w:val="000000" w:themeColor="text1"/>
          <w14:textFill>
            <w14:solidFill>
              <w14:schemeClr w14:val="tx1"/>
            </w14:solidFill>
          </w14:textFill>
        </w:rPr>
      </w:pPr>
      <w:bookmarkStart w:id="8" w:name="_Toc59961104"/>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人口受教育程度分布比例（%）</w:t>
      </w:r>
      <w:bookmarkEnd w:id="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人口受教育程度分布比例，</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某组人口中不同受教育程度人口的百分比分布情况。例如，主要劳动年龄人口受过高等教育的比例是指，2</w:t>
      </w:r>
      <w:r>
        <w:rPr>
          <w:color w:val="000000" w:themeColor="text1"/>
          <w14:textFill>
            <w14:solidFill>
              <w14:schemeClr w14:val="tx1"/>
            </w14:solidFill>
          </w14:textFill>
        </w:rPr>
        <w:t>0～59</w:t>
      </w:r>
      <w:r>
        <w:rPr>
          <w:rFonts w:hint="eastAsia"/>
          <w:color w:val="000000" w:themeColor="text1"/>
          <w14:textFill>
            <w14:solidFill>
              <w14:schemeClr w14:val="tx1"/>
            </w14:solidFill>
          </w14:textFill>
        </w:rPr>
        <w:t>岁人口中受教育程度为大专及以上人口的百分比。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该指标提供人口素质的重要信息，可用作教育效益类指标。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受教育程度分布比例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某组人</w:t>
      </w:r>
      <w:r>
        <w:rPr>
          <w:color w:val="000000" w:themeColor="text1"/>
          <w14:textFill>
            <w14:solidFill>
              <w14:schemeClr w14:val="tx1"/>
            </w14:solidFill>
          </w14:textFill>
        </w:rPr>
        <w:t>口</w:t>
      </w:r>
      <w:r>
        <w:rPr>
          <w:rFonts w:hint="eastAsia"/>
          <w:color w:val="000000" w:themeColor="text1"/>
          <w14:textFill>
            <w14:solidFill>
              <w14:schemeClr w14:val="tx1"/>
            </w14:solidFill>
          </w14:textFill>
        </w:rPr>
        <w:t>中某级教育（及以上）受教育程度的人口数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该组</w:t>
      </w:r>
      <w:r>
        <w:rPr>
          <w:color w:val="000000" w:themeColor="text1"/>
          <w14:textFill>
            <w14:solidFill>
              <w14:schemeClr w14:val="tx1"/>
            </w14:solidFill>
          </w14:textFill>
        </w:rPr>
        <w:t>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注：人口受教育程度的确定采用国家统计局标准。</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国家统计局人口统计数据</w:t>
      </w:r>
      <w:r>
        <w:rPr>
          <w:rFonts w:hint="eastAsia"/>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可以根据需要测算某组人口的受教育程度分布比例</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受教育程度分布比例反映了人口的受教育水平情况，人口中受过高中及以上教育的比例，以及受过高等教育的比例越高，说明人口的受教育水平越高，国家</w:t>
      </w:r>
      <w:r>
        <w:rPr>
          <w:color w:val="000000" w:themeColor="text1"/>
          <w14:textFill>
            <w14:solidFill>
              <w14:schemeClr w14:val="tx1"/>
            </w14:solidFill>
          </w14:textFill>
        </w:rPr>
        <w:t>的人力资源水平</w:t>
      </w:r>
      <w:r>
        <w:rPr>
          <w:rFonts w:hint="eastAsia"/>
          <w:color w:val="000000" w:themeColor="text1"/>
          <w14:textFill>
            <w14:solidFill>
              <w14:schemeClr w14:val="tx1"/>
            </w14:solidFill>
          </w14:textFill>
        </w:rPr>
        <w:t>也越高</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该指标测算需要基于人口学历分布情况，而只有普查年份才能获得完整的人口学历分布数据，其他年份通常只能基于人口抽样调查数据进行估算，</w:t>
      </w:r>
      <w:r>
        <w:rPr>
          <w:color w:val="000000" w:themeColor="text1"/>
          <w14:textFill>
            <w14:solidFill>
              <w14:schemeClr w14:val="tx1"/>
            </w14:solidFill>
          </w14:textFill>
        </w:rPr>
        <w:t>指标值会受到所采用估算方法</w:t>
      </w:r>
      <w:r>
        <w:rPr>
          <w:rFonts w:hint="eastAsia"/>
          <w:color w:val="000000" w:themeColor="text1"/>
          <w14:textFill>
            <w14:solidFill>
              <w14:schemeClr w14:val="tx1"/>
            </w14:solidFill>
          </w14:textFill>
        </w:rPr>
        <w:t>以及人口抽样比与代表性的影响，结果可能存在较大误差。除普查年份外该指标仅建议国家级使用，地方若要测算需特别谨慎。</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劳动年龄人口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=16～59岁</w:t>
      </w:r>
      <w:r>
        <w:rPr>
          <w:rFonts w:hint="eastAsia"/>
          <w:color w:val="000000" w:themeColor="text1"/>
          <w14:textFill>
            <w14:solidFill>
              <w14:schemeClr w14:val="tx1"/>
            </w14:solidFill>
          </w14:textFill>
        </w:rPr>
        <w:t>大专及以上受教育程度</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/16～59岁人口总数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注：当前我国劳动年龄人口的年龄范围为</w:t>
      </w:r>
      <w:r>
        <w:rPr>
          <w:color w:val="000000" w:themeColor="text1"/>
          <w14:textFill>
            <w14:solidFill>
              <w14:schemeClr w14:val="tx1"/>
            </w14:solidFill>
          </w14:textFill>
        </w:rPr>
        <w:t>16～59岁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劳动年龄人口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 20～59岁</w:t>
      </w:r>
      <w:r>
        <w:rPr>
          <w:rFonts w:hint="eastAsia"/>
          <w:color w:val="000000" w:themeColor="text1"/>
          <w14:textFill>
            <w14:solidFill>
              <w14:schemeClr w14:val="tx1"/>
            </w14:solidFill>
          </w14:textFill>
        </w:rPr>
        <w:t>大专及以上受教育程度人口数</w:t>
      </w:r>
      <w:r>
        <w:rPr>
          <w:color w:val="000000" w:themeColor="text1"/>
          <w14:textFill>
            <w14:solidFill>
              <w14:schemeClr w14:val="tx1"/>
            </w14:solidFill>
          </w14:textFill>
        </w:rPr>
        <w:t>/20～59岁人口总数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注：当前我国主要劳动年龄人口的年龄范围为</w:t>
      </w:r>
      <w:r>
        <w:rPr>
          <w:color w:val="000000" w:themeColor="text1"/>
          <w14:textFill>
            <w14:solidFill>
              <w14:schemeClr w14:val="tx1"/>
            </w14:solidFill>
          </w14:textFill>
        </w:rPr>
        <w:t>20～59岁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=15～64岁</w:t>
      </w:r>
      <w:r>
        <w:rPr>
          <w:rFonts w:hint="eastAsia"/>
          <w:color w:val="000000" w:themeColor="text1"/>
          <w14:textFill>
            <w14:solidFill>
              <w14:schemeClr w14:val="tx1"/>
            </w14:solidFill>
          </w14:textFill>
        </w:rPr>
        <w:t>大专及以上受教育程度</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/15～64岁人口总数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注：国际劳动年龄人口的年龄范围通常为</w:t>
      </w:r>
      <w:r>
        <w:rPr>
          <w:color w:val="000000" w:themeColor="text1"/>
          <w14:textFill>
            <w14:solidFill>
              <w14:schemeClr w14:val="tx1"/>
            </w14:solidFill>
          </w14:textFill>
        </w:rPr>
        <w:t>15～64岁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5～64</w:t>
      </w:r>
      <w:r>
        <w:rPr>
          <w:rFonts w:hint="eastAsia"/>
          <w:color w:val="000000" w:themeColor="text1"/>
          <w14:textFill>
            <w14:solidFill>
              <w14:schemeClr w14:val="tx1"/>
            </w14:solidFill>
          </w14:textFill>
        </w:rPr>
        <w:t>岁</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受过高等教育的比例（%）</w:t>
      </w:r>
    </w:p>
    <w:p>
      <w:pPr>
        <w:rPr>
          <w:color w:val="000000" w:themeColor="text1"/>
          <w14:textFill>
            <w14:solidFill>
              <w14:schemeClr w14:val="tx1"/>
            </w14:solidFill>
          </w14:textFill>
        </w:rPr>
      </w:pPr>
      <w:r>
        <w:rPr>
          <w:color w:val="000000" w:themeColor="text1"/>
          <w14:textFill>
            <w14:solidFill>
              <w14:schemeClr w14:val="tx1"/>
            </w14:solidFill>
          </w14:textFill>
        </w:rPr>
        <w:t>= 25～64岁</w:t>
      </w:r>
      <w:r>
        <w:rPr>
          <w:rFonts w:hint="eastAsia"/>
          <w:color w:val="000000" w:themeColor="text1"/>
          <w14:textFill>
            <w14:solidFill>
              <w14:schemeClr w14:val="tx1"/>
            </w14:solidFill>
          </w14:textFill>
        </w:rPr>
        <w:t>大专及以上受教育程度人口数</w:t>
      </w:r>
      <w:r>
        <w:rPr>
          <w:color w:val="000000" w:themeColor="text1"/>
          <w14:textFill>
            <w14:solidFill>
              <w14:schemeClr w14:val="tx1"/>
            </w14:solidFill>
          </w14:textFill>
        </w:rPr>
        <w:t>/25～64岁人口总数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注：国际主要劳动年龄人口的年龄范围通常为</w:t>
      </w:r>
      <w:r>
        <w:rPr>
          <w:color w:val="000000" w:themeColor="text1"/>
          <w14:textFill>
            <w14:solidFill>
              <w14:schemeClr w14:val="tx1"/>
            </w14:solidFill>
          </w14:textFill>
        </w:rPr>
        <w:t>25～64岁</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）新增劳动力中受过高等教育的比例（%）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=新增劳动力中高等教育程度人口数/新增劳动力人口总数*100%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新增劳动力是指16周岁</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以上初次进入劳动力市场</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在教育事业</w:t>
      </w:r>
      <w:r>
        <w:rPr>
          <w:rFonts w:hint="eastAsia"/>
          <w:color w:val="000000" w:themeColor="text1"/>
          <w14:textFill>
            <w14:solidFill>
              <w14:schemeClr w14:val="tx1"/>
            </w14:solidFill>
          </w14:textFill>
        </w:rPr>
        <w:t>和人口</w:t>
      </w:r>
      <w:r>
        <w:rPr>
          <w:color w:val="000000" w:themeColor="text1"/>
          <w14:textFill>
            <w14:solidFill>
              <w14:schemeClr w14:val="tx1"/>
            </w14:solidFill>
          </w14:textFill>
        </w:rPr>
        <w:t>数据中，新增劳动力数大致对应为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各级各类教育中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16周岁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的当年</w:t>
      </w:r>
      <w:r>
        <w:rPr>
          <w:rFonts w:hint="eastAsia"/>
          <w:color w:val="000000" w:themeColor="text1"/>
          <w14:textFill>
            <w14:solidFill>
              <w14:schemeClr w14:val="tx1"/>
            </w14:solidFill>
          </w14:textFill>
        </w:rPr>
        <w:t>离校</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未继续升学的毕业生</w:t>
      </w:r>
      <w:r>
        <w:rPr>
          <w:rFonts w:hint="eastAsia"/>
          <w:color w:val="000000" w:themeColor="text1"/>
          <w14:textFill>
            <w14:solidFill>
              <w14:schemeClr w14:val="tx1"/>
            </w14:solidFill>
          </w14:textFill>
        </w:rPr>
        <w:t>，以及不在校人口中当年满</w:t>
      </w:r>
      <w:r>
        <w:rPr>
          <w:color w:val="000000" w:themeColor="text1"/>
          <w14:textFill>
            <w14:solidFill>
              <w14:schemeClr w14:val="tx1"/>
            </w14:solidFill>
          </w14:textFill>
        </w:rPr>
        <w:t>16周岁人口的合计数</w:t>
      </w:r>
      <w:r>
        <w:rPr>
          <w:rFonts w:hint="eastAsia"/>
          <w:color w:val="000000" w:themeColor="text1"/>
          <w14:textFill>
            <w14:solidFill>
              <w14:schemeClr w14:val="tx1"/>
            </w14:solidFill>
          </w14:textFill>
        </w:rPr>
        <w:t>。该指标需要结合人口数据与教育事业统计数据综合分析。</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）新增劳动力中受过高中及以上教育的比例（%）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=新增劳动力中高中及以上受教育程度人口数/新增劳动力人口总数*100%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新增劳动力是指16周岁</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以上初次进入劳动力市场</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人口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在教育事业</w:t>
      </w:r>
      <w:r>
        <w:rPr>
          <w:rFonts w:hint="eastAsia"/>
          <w:color w:val="000000" w:themeColor="text1"/>
          <w14:textFill>
            <w14:solidFill>
              <w14:schemeClr w14:val="tx1"/>
            </w14:solidFill>
          </w14:textFill>
        </w:rPr>
        <w:t>和人口</w:t>
      </w:r>
      <w:r>
        <w:rPr>
          <w:color w:val="000000" w:themeColor="text1"/>
          <w14:textFill>
            <w14:solidFill>
              <w14:schemeClr w14:val="tx1"/>
            </w14:solidFill>
          </w14:textFill>
        </w:rPr>
        <w:t>数据中，新增劳动力数大致对应为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各级各类教育中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16周岁</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的当年</w:t>
      </w:r>
      <w:r>
        <w:rPr>
          <w:rFonts w:hint="eastAsia"/>
          <w:color w:val="000000" w:themeColor="text1"/>
          <w14:textFill>
            <w14:solidFill>
              <w14:schemeClr w14:val="tx1"/>
            </w14:solidFill>
          </w14:textFill>
        </w:rPr>
        <w:t>离校</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未继续升学的毕业生</w:t>
      </w:r>
      <w:r>
        <w:rPr>
          <w:rFonts w:hint="eastAsia"/>
          <w:color w:val="000000" w:themeColor="text1"/>
          <w14:textFill>
            <w14:solidFill>
              <w14:schemeClr w14:val="tx1"/>
            </w14:solidFill>
          </w14:textFill>
        </w:rPr>
        <w:t>，以及不在校人口中当年满</w:t>
      </w:r>
      <w:r>
        <w:rPr>
          <w:color w:val="000000" w:themeColor="text1"/>
          <w14:textFill>
            <w14:solidFill>
              <w14:schemeClr w14:val="tx1"/>
            </w14:solidFill>
          </w14:textFill>
        </w:rPr>
        <w:t>16周岁人口的合计数</w:t>
      </w:r>
      <w:r>
        <w:rPr>
          <w:rFonts w:hint="eastAsia"/>
          <w:color w:val="000000" w:themeColor="text1"/>
          <w14:textFill>
            <w14:solidFill>
              <w14:schemeClr w14:val="tx1"/>
            </w14:solidFill>
          </w14:textFill>
        </w:rPr>
        <w:t>。该指标需要结合人口数据与教育事业统计数据综合分析。</w:t>
      </w:r>
    </w:p>
    <w:p>
      <w:pPr>
        <w:pStyle w:val="3"/>
        <w:rPr>
          <w:color w:val="000000" w:themeColor="text1"/>
          <w14:textFill>
            <w14:solidFill>
              <w14:schemeClr w14:val="tx1"/>
            </w14:solidFill>
          </w14:textFill>
        </w:rPr>
      </w:pPr>
      <w:bookmarkStart w:id="9" w:name="_Toc59961105"/>
      <w:r>
        <w:rPr>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中小学教育完成率（%）</w:t>
      </w:r>
      <w:bookmarkEnd w:id="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中小学教育完成率，</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根据现行学制和入学年龄规定大于中小学各学段最高年级预期入学年龄3至</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岁的人口完成相应层级教育的百分比。根据我国现行学制和各地主要入学年龄规定，本指标中将小学、初中和高中最高年级预期入学年龄分别设定为1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岁、1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岁和1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岁，则该指标分别考察1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岁人口小学完成率，1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岁人口初中完成率，2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岁人口高中完成率。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可衡量有多少儿童和青少年按时入学并在预期年限内顺利完成中小学各层级教育的情况，</w:t>
      </w:r>
      <w:r>
        <w:rPr>
          <w:color w:val="000000" w:themeColor="text1"/>
          <w14:textFill>
            <w14:solidFill>
              <w14:schemeClr w14:val="tx1"/>
            </w14:solidFill>
          </w14:textFill>
        </w:rPr>
        <w:t>可用作教育效益类指标。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中小学教育完成率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大于中小学某学段最高年级预期入学年龄3～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岁的人口中完成该级教育的人口数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大于该级教育最高年级预期入学年龄3～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岁的人口总数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注：该指标分子统计的是完成某级教育的人数，不含仍在该学段就读学生或提前离校未完成该级教育者。</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国家统计局人口统计数据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分学段；分性别；分城乡</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中小学教育完成率达到或接近100%表明，所有或大多数青少年和青年在比进入某一级教育最高年级预期年龄大3至5岁时已完成了该级教育，即按时完成了中小学阶段教育；而中小学教育完成率偏低则提示儿童或青少年没有按时入学，或存在较高的离校率或复读率，有必要对具体原因深入分析，例如对性别、地区或城乡等分组因素的考察可以提供一定的信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该指标测算需要基于人口学历分布情况，而只有普查年份才能获得完整的人口学历分布数据，其他年份通常只能基于人口抽样数据进行估算，</w:t>
      </w:r>
      <w:r>
        <w:rPr>
          <w:color w:val="000000" w:themeColor="text1"/>
          <w14:textFill>
            <w14:solidFill>
              <w14:schemeClr w14:val="tx1"/>
            </w14:solidFill>
          </w14:textFill>
        </w:rPr>
        <w:t>指标值会受到所采用估算方法</w:t>
      </w:r>
      <w:r>
        <w:rPr>
          <w:rFonts w:hint="eastAsia"/>
          <w:color w:val="000000" w:themeColor="text1"/>
          <w14:textFill>
            <w14:solidFill>
              <w14:schemeClr w14:val="tx1"/>
            </w14:solidFill>
          </w14:textFill>
        </w:rPr>
        <w:t>以及人口抽样比例与代表性的影响，结果可能存在较大误差。除普查年份外该指标仅建议国家级使用，地方若要测算需特别谨慎。另外，该指标的人口受教育程度数据需区分某级教育的完成情况（例如，毕业、肄业、在读或退学），若无精确数据也需要推算。</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（1）小学教育完成率（%）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完成小学教育的</w:t>
      </w:r>
      <w:r>
        <w:rPr>
          <w:color w:val="000000" w:themeColor="text1"/>
          <w14:textFill>
            <w14:solidFill>
              <w14:schemeClr w14:val="tx1"/>
            </w14:solidFill>
          </w14:textFill>
        </w:rPr>
        <w:t>14～16岁人口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/14～16岁人口总数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）初中教育完成率（%）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完成初中教育的</w:t>
      </w:r>
      <w:r>
        <w:rPr>
          <w:color w:val="000000" w:themeColor="text1"/>
          <w14:textFill>
            <w14:solidFill>
              <w14:schemeClr w14:val="tx1"/>
            </w14:solidFill>
          </w14:textFill>
        </w:rPr>
        <w:t>17～19岁人口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/17～19岁人口总数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）高中教育完成率（%）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完成高中教育的</w:t>
      </w:r>
      <w:r>
        <w:rPr>
          <w:color w:val="000000" w:themeColor="text1"/>
          <w14:textFill>
            <w14:solidFill>
              <w14:schemeClr w14:val="tx1"/>
            </w14:solidFill>
          </w14:textFill>
        </w:rPr>
        <w:t>20～22岁人口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/20～22岁人口总数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10" w:name="_Toc59961106"/>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每十万人口各级教育平均在校生数（人）</w:t>
      </w:r>
      <w:bookmarkEnd w:id="1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每十万人口各级</w:t>
      </w:r>
      <w:r>
        <w:rPr>
          <w:rFonts w:hint="eastAsia"/>
          <w:color w:val="000000" w:themeColor="text1"/>
          <w14:textFill>
            <w14:solidFill>
              <w14:schemeClr w14:val="tx1"/>
            </w14:solidFill>
          </w14:textFill>
        </w:rPr>
        <w:t>教育平均</w:t>
      </w:r>
      <w:r>
        <w:rPr>
          <w:color w:val="000000" w:themeColor="text1"/>
          <w14:textFill>
            <w14:solidFill>
              <w14:schemeClr w14:val="tx1"/>
            </w14:solidFill>
          </w14:textFill>
        </w:rPr>
        <w:t>在校生数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是指在某学年内每十万人口中</w:t>
      </w:r>
      <w:r>
        <w:rPr>
          <w:rFonts w:hint="eastAsia"/>
          <w:color w:val="000000" w:themeColor="text1"/>
          <w14:textFill>
            <w14:solidFill>
              <w14:schemeClr w14:val="tx1"/>
            </w14:solidFill>
          </w14:textFill>
        </w:rPr>
        <w:t>平均有各</w:t>
      </w:r>
      <w:r>
        <w:rPr>
          <w:color w:val="000000" w:themeColor="text1"/>
          <w14:textFill>
            <w14:solidFill>
              <w14:schemeClr w14:val="tx1"/>
            </w14:solidFill>
          </w14:textFill>
        </w:rPr>
        <w:t>级</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在校生人数。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该指标可反映人口中各级</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学生的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规模情况。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每十万人口各级</w:t>
      </w:r>
      <w:r>
        <w:rPr>
          <w:rFonts w:hint="eastAsia"/>
          <w:color w:val="000000" w:themeColor="text1"/>
          <w14:textFill>
            <w14:solidFill>
              <w14:schemeClr w14:val="tx1"/>
            </w14:solidFill>
          </w14:textFill>
        </w:rPr>
        <w:t>教育平均</w:t>
      </w:r>
      <w:r>
        <w:rPr>
          <w:color w:val="000000" w:themeColor="text1"/>
          <w14:textFill>
            <w14:solidFill>
              <w14:schemeClr w14:val="tx1"/>
            </w14:solidFill>
          </w14:textFill>
        </w:rPr>
        <w:t>在校生数=某一级</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在校生总数/人口总数*100000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教育事业统计数据、国家统计局人口统计</w:t>
      </w:r>
      <w:r>
        <w:rPr>
          <w:rFonts w:hint="eastAsia"/>
          <w:color w:val="000000" w:themeColor="text1"/>
          <w14:textFill>
            <w14:solidFill>
              <w14:schemeClr w14:val="tx1"/>
            </w14:solidFill>
          </w14:textFill>
        </w:rPr>
        <w:t>数据、人力资源和社会保障部公布的技工学校数据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ascii="黑体" w:hAnsi="黑体" w:eastAsia="黑体"/>
          <w:b/>
          <w:color w:val="000000" w:themeColor="text1"/>
          <w14:textFill>
            <w14:solidFill>
              <w14:schemeClr w14:val="tx1"/>
            </w14:solidFill>
          </w14:textFill>
        </w:rPr>
        <w:t>：</w:t>
      </w:r>
      <w:r>
        <w:rPr>
          <w:color w:val="000000" w:themeColor="text1"/>
          <w14:textFill>
            <w14:solidFill>
              <w14:schemeClr w14:val="tx1"/>
            </w14:solidFill>
          </w14:textFill>
        </w:rPr>
        <w:t>该指标值可以在一定程度上反映全国及各地的教育发展水平及各级教育受教育人口比重的高低。</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该指标值</w:t>
      </w:r>
      <w:r>
        <w:rPr>
          <w:rFonts w:hint="eastAsia"/>
          <w:color w:val="000000" w:themeColor="text1"/>
          <w14:textFill>
            <w14:solidFill>
              <w14:schemeClr w14:val="tx1"/>
            </w14:solidFill>
          </w14:textFill>
        </w:rPr>
        <w:t>主要反映各级教育在校人口的相对规模，会受到当地人口结构、经济发展水平、教育政策及学校布局等的影响。例如，在义务教育全面普及的背景下，义务教育阶段的指标值主要与学龄人口的相对规模有关；而高等教育的指标值则受高等院校在全国布局的影响较大。</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（1）每十万人口</w:t>
      </w:r>
      <w:r>
        <w:rPr>
          <w:rFonts w:hint="eastAsia"/>
          <w:color w:val="000000" w:themeColor="text1"/>
          <w14:textFill>
            <w14:solidFill>
              <w14:schemeClr w14:val="tx1"/>
            </w14:solidFill>
          </w14:textFill>
        </w:rPr>
        <w:t>学前教育平均</w:t>
      </w:r>
      <w:r>
        <w:rPr>
          <w:color w:val="000000" w:themeColor="text1"/>
          <w14:textFill>
            <w14:solidFill>
              <w14:schemeClr w14:val="tx1"/>
            </w14:solidFill>
          </w14:textFill>
        </w:rPr>
        <w:t>在园（班）幼儿数（人）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在园（班）幼儿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数/人口总数*100000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（2）每十万人口小学</w:t>
      </w:r>
      <w:r>
        <w:rPr>
          <w:rFonts w:hint="eastAsia"/>
          <w:color w:val="000000" w:themeColor="text1"/>
          <w14:textFill>
            <w14:solidFill>
              <w14:schemeClr w14:val="tx1"/>
            </w14:solidFill>
          </w14:textFill>
        </w:rPr>
        <w:t>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=小学在校生总数/人口总数*100000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（3）每十万人口初中</w:t>
      </w:r>
      <w:r>
        <w:rPr>
          <w:rFonts w:hint="eastAsia"/>
          <w:color w:val="000000" w:themeColor="text1"/>
          <w14:textFill>
            <w14:solidFill>
              <w14:schemeClr w14:val="tx1"/>
            </w14:solidFill>
          </w14:textFill>
        </w:rPr>
        <w:t>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=初中在校生总数/人口总数*100000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（4）每十万人口高中阶段</w:t>
      </w:r>
      <w:r>
        <w:rPr>
          <w:rFonts w:hint="eastAsia"/>
          <w:color w:val="000000" w:themeColor="text1"/>
          <w14:textFill>
            <w14:solidFill>
              <w14:schemeClr w14:val="tx1"/>
            </w14:solidFill>
          </w14:textFill>
        </w:rPr>
        <w:t>教育平均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=高中阶段</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在校生总数/人口总数*100000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注：高中阶段教育包括普通高中、成人高中和中等职业教育（中等职业学校和技工学校）。</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（5）每十万人口高等教育</w:t>
      </w:r>
      <w:r>
        <w:rPr>
          <w:rFonts w:hint="eastAsia"/>
          <w:color w:val="000000" w:themeColor="text1"/>
          <w14:textFill>
            <w14:solidFill>
              <w14:schemeClr w14:val="tx1"/>
            </w14:solidFill>
          </w14:textFill>
        </w:rPr>
        <w:t>平均</w:t>
      </w:r>
      <w:r>
        <w:rPr>
          <w:color w:val="000000" w:themeColor="text1"/>
          <w14:textFill>
            <w14:solidFill>
              <w14:schemeClr w14:val="tx1"/>
            </w14:solidFill>
          </w14:textFill>
        </w:rPr>
        <w:t>在校生数（人）</w:t>
      </w:r>
    </w:p>
    <w:p>
      <w:pPr>
        <w:rPr>
          <w:color w:val="000000" w:themeColor="text1"/>
          <w14:textFill>
            <w14:solidFill>
              <w14:schemeClr w14:val="tx1"/>
            </w14:solidFill>
          </w14:textFill>
        </w:rPr>
      </w:pPr>
      <w:r>
        <w:rPr>
          <w:color w:val="000000" w:themeColor="text1"/>
          <w14:textFill>
            <w14:solidFill>
              <w14:schemeClr w14:val="tx1"/>
            </w14:solidFill>
          </w14:textFill>
        </w:rPr>
        <w:t>=高等教育在校生总数/人口总数*100000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注：本指标中高等教育在校生总数统计为研究生、普通本专科和成人本专科学生的合计数。</w:t>
      </w:r>
    </w:p>
    <w:p>
      <w:pPr>
        <w:pStyle w:val="3"/>
        <w:rPr>
          <w:color w:val="000000" w:themeColor="text1"/>
          <w14:textFill>
            <w14:solidFill>
              <w14:schemeClr w14:val="tx1"/>
            </w14:solidFill>
          </w14:textFill>
        </w:rPr>
      </w:pPr>
      <w:bookmarkStart w:id="11" w:name="_Toc59961107"/>
      <w:r>
        <w:rPr>
          <w:color w:val="000000" w:themeColor="text1"/>
          <w14:textFill>
            <w14:solidFill>
              <w14:schemeClr w14:val="tx1"/>
            </w14:solidFill>
          </w14:textFill>
        </w:rPr>
        <w:t>6</w:t>
      </w:r>
      <w:r>
        <w:rPr>
          <w:rFonts w:hint="eastAsia"/>
          <w:color w:val="000000" w:themeColor="text1"/>
          <w14:textFill>
            <w14:solidFill>
              <w14:schemeClr w14:val="tx1"/>
            </w14:solidFill>
          </w14:textFill>
        </w:rPr>
        <w:t>. 各级各类学校（机构）举办的培训规模（人次）</w:t>
      </w:r>
      <w:bookmarkEnd w:id="1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各级各类学校（机构）举办的培训规模，</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上学年依托各级各类学校（机构）举办的非学历教育培训的结业人次，目前主要由中等职业教育学校（机构）和高等学校（机构）承担面向公众的教育培训。</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w:t>
      </w:r>
      <w:r>
        <w:rPr>
          <w:rFonts w:hint="eastAsia"/>
          <w:color w:val="000000" w:themeColor="text1"/>
          <w14:textFill>
            <w14:solidFill>
              <w14:schemeClr w14:val="tx1"/>
            </w14:solidFill>
          </w14:textFill>
        </w:rPr>
        <w:t>各级各类学校（机构）中举办的教育培训的规模情况</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各级各类学校（机构）中举办的培训规模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上学年中等职业教育学校（机构）中举办培训的结业人次+上学年高等学校（机构）中举办培训的结业人次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全国及</w:t>
      </w:r>
      <w:r>
        <w:rPr>
          <w:color w:val="000000" w:themeColor="text1"/>
          <w14:textFill>
            <w14:solidFill>
              <w14:schemeClr w14:val="tx1"/>
            </w14:solidFill>
          </w14:textFill>
        </w:rPr>
        <w:t>各地</w:t>
      </w:r>
      <w:r>
        <w:rPr>
          <w:rFonts w:hint="eastAsia"/>
          <w:color w:val="000000" w:themeColor="text1"/>
          <w14:textFill>
            <w14:solidFill>
              <w14:schemeClr w14:val="tx1"/>
            </w14:solidFill>
          </w14:textFill>
        </w:rPr>
        <w:t>依托各级各类学校（机构）举办的教育培训的参与情况，指标值越高，说明教育培训的参与水平越高，可在一定程度上体现继续教育的参与情况。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该指标仅反映依托学校（机构）举办的继续教育的培训人次，并不能完全反映继续教育的参与情况，同时培训的实际效果也会受到培训类型、培训时长及举办单位师资等的影响。</w:t>
      </w:r>
      <w:bookmarkEnd w:id="5"/>
      <w:bookmarkEnd w:id="7"/>
    </w:p>
    <w:p>
      <w:pPr>
        <w:pStyle w:val="3"/>
        <w:rPr>
          <w:color w:val="000000" w:themeColor="text1"/>
          <w14:textFill>
            <w14:solidFill>
              <w14:schemeClr w14:val="tx1"/>
            </w14:solidFill>
          </w14:textFill>
        </w:rPr>
      </w:pPr>
      <w:bookmarkStart w:id="12" w:name="_Toc54862023"/>
      <w:bookmarkStart w:id="13" w:name="_Toc59961108"/>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从业人员继续教育参与率（%）</w:t>
      </w:r>
      <w:bookmarkEnd w:id="12"/>
      <w:bookmarkEnd w:id="1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从业人员继续教育参与率，是指上年度参加学历教育或各类培训的就业人员占就业人员总数的百分比。就业人员是指在一定年龄以上，有劳动能力，为取得劳动报酬或经营收入而从事一定社会劳动的人员。根据国家统计局的解释，“从业人员”和“就业人员”在统计上没有区别。“从业人员”主要从微观角度反映单位用工状况。“就业人员”是从宏观角度反映全社会就业状况。因此，在反映某个单位用工状况时使用“单位从业人员”，反映全社会就业状况时使用“就业人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该指标可反映成人学历教育和以职业为导向的非学历教育等继续教育发展水平。</w:t>
      </w:r>
    </w:p>
    <w:p>
      <w:pPr>
        <w:ind w:firstLine="482"/>
        <w:rPr>
          <w:color w:val="000000" w:themeColor="text1"/>
          <w14:textFill>
            <w14:solidFill>
              <w14:schemeClr w14:val="tx1"/>
            </w14:solidFill>
          </w14:textFill>
        </w:rPr>
      </w:pPr>
      <w:r>
        <w:rPr>
          <w:rFonts w:hint="eastAsia" w:ascii="黑体" w:hAnsi="黑体" w:eastAsia="黑体"/>
          <w:b/>
          <w:bCs/>
          <w:color w:val="000000" w:themeColor="text1"/>
          <w:shd w:val="clear" w:color="auto" w:fill="FFFFFF"/>
          <w14:textFill>
            <w14:solidFill>
              <w14:schemeClr w14:val="tx1"/>
            </w14:solidFill>
          </w14:textFill>
        </w:rPr>
        <w:t>公式：</w:t>
      </w:r>
      <w:r>
        <w:rPr>
          <w:rFonts w:hint="eastAsia"/>
          <w:color w:val="000000" w:themeColor="text1"/>
          <w:shd w:val="clear" w:color="auto" w:fill="FFFFFF"/>
          <w14:textFill>
            <w14:solidFill>
              <w14:schemeClr w14:val="tx1"/>
            </w14:solidFill>
          </w14:textFill>
        </w:rPr>
        <w:t>从业人员继续教育参与率（%）=上年度参加学历教育或各类培训的就业人员/就业人员总数</w:t>
      </w:r>
      <w:r>
        <w:rPr>
          <w:rFonts w:hint="eastAsia"/>
          <w:color w:val="000000" w:themeColor="text1"/>
          <w14:textFill>
            <w14:solidFill>
              <w14:schemeClr w14:val="tx1"/>
            </w14:solidFill>
          </w14:textFill>
        </w:rPr>
        <w:t>*100%</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全国职工教育培训统计数据，或国家统计局相关的人口普查、调查数据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指标值越高，从业人员参与教育与培训的机会越多，对个人素质和职业能力的提升也就越多。</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该指标只能反映机会的多少，无法体现继续教育的质量、类型等信息。</w:t>
      </w:r>
    </w:p>
    <w:p>
      <w:pPr>
        <w:pStyle w:val="3"/>
        <w:rPr>
          <w:color w:val="000000" w:themeColor="text1"/>
          <w14:textFill>
            <w14:solidFill>
              <w14:schemeClr w14:val="tx1"/>
            </w14:solidFill>
          </w14:textFill>
        </w:rPr>
      </w:pPr>
      <w:bookmarkStart w:id="14" w:name="_Toc54862024"/>
      <w:bookmarkStart w:id="15" w:name="_Toc20601880"/>
      <w:bookmarkStart w:id="16" w:name="_Toc59961109"/>
      <w:r>
        <w:rPr>
          <w:color w:val="000000" w:themeColor="text1"/>
          <w14:textFill>
            <w14:solidFill>
              <w14:schemeClr w14:val="tx1"/>
            </w14:solidFill>
          </w14:textFill>
        </w:rPr>
        <w: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经常性参与教育活动的老年人占比（%）</w:t>
      </w:r>
      <w:bookmarkEnd w:id="14"/>
      <w:bookmarkEnd w:id="15"/>
      <w:bookmarkEnd w:id="1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经常性参与教育活动的老年人占比，</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经常性参与教育活动的6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岁及以上老年人占</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岁及以上老年人总数的百分比。其中教育活动指各种形式的有意识的活动，以及旨在引发学习的各种形式的交流，包括且不限于报名加入各级各类学校开展的老年教育，部门、行业企业、高校举办的老年大学的学习活动，参与乡镇（街道）社区老年学习场所以及各村（居委会）老年社区学习点组织的老年人学习活动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 xml:space="preserve">各地区老年教育的开展情况。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经常性参与教育活动的老年人占比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经常性参与教育活动的60岁及以上老人</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岁及以上老年人总数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老龄委、教育部等组织的相关调查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；分举办者类别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越好，</w:t>
      </w:r>
      <w:r>
        <w:rPr>
          <w:rFonts w:hint="eastAsia"/>
          <w:color w:val="000000" w:themeColor="text1"/>
          <w14:textFill>
            <w14:solidFill>
              <w14:schemeClr w14:val="tx1"/>
            </w14:solidFill>
          </w14:textFill>
        </w:rPr>
        <w:t>某地区该</w:t>
      </w:r>
      <w:r>
        <w:rPr>
          <w:color w:val="000000" w:themeColor="text1"/>
          <w14:textFill>
            <w14:solidFill>
              <w14:schemeClr w14:val="tx1"/>
            </w14:solidFill>
          </w14:textFill>
        </w:rPr>
        <w:t>指标值高说明</w:t>
      </w:r>
      <w:r>
        <w:rPr>
          <w:rFonts w:hint="eastAsia"/>
          <w:color w:val="000000" w:themeColor="text1"/>
          <w14:textFill>
            <w14:solidFill>
              <w14:schemeClr w14:val="tx1"/>
            </w14:solidFill>
          </w14:textFill>
        </w:rPr>
        <w:t>该地区老年人参与老年教育活动人数多，一定程度上反映该地区老年教育资源供给情况良好。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w:t>
      </w:r>
      <w:r>
        <w:rPr>
          <w:rFonts w:hint="eastAsia"/>
          <w:color w:val="000000" w:themeColor="text1"/>
          <w14:textFill>
            <w14:solidFill>
              <w14:schemeClr w14:val="tx1"/>
            </w14:solidFill>
          </w14:textFill>
        </w:rPr>
        <w:t>能一定程度上反</w:t>
      </w:r>
      <w:r>
        <w:rPr>
          <w:color w:val="000000" w:themeColor="text1"/>
          <w14:textFill>
            <w14:solidFill>
              <w14:schemeClr w14:val="tx1"/>
            </w14:solidFill>
          </w14:textFill>
        </w:rPr>
        <w:t>映</w:t>
      </w:r>
      <w:r>
        <w:rPr>
          <w:rFonts w:hint="eastAsia"/>
          <w:color w:val="000000" w:themeColor="text1"/>
          <w14:textFill>
            <w14:solidFill>
              <w14:schemeClr w14:val="tx1"/>
            </w14:solidFill>
          </w14:textFill>
        </w:rPr>
        <w:t>老年教育的参与情况，并不能完全反映老年教育的实际效果及相关资源对老年人教育需求的满足情况。</w:t>
      </w:r>
    </w:p>
    <w:p>
      <w:pPr>
        <w:pStyle w:val="2"/>
        <w:rPr>
          <w:color w:val="000000" w:themeColor="text1"/>
          <w14:textFill>
            <w14:solidFill>
              <w14:schemeClr w14:val="tx1"/>
            </w14:solidFill>
          </w14:textFill>
        </w:rPr>
      </w:pPr>
      <w:bookmarkStart w:id="17" w:name="_Toc9848743"/>
      <w:bookmarkStart w:id="18" w:name="_Toc59961110"/>
      <w:r>
        <w:rPr>
          <w:rFonts w:hint="eastAsia"/>
          <w:color w:val="000000" w:themeColor="text1"/>
          <w14:textFill>
            <w14:solidFill>
              <w14:schemeClr w14:val="tx1"/>
            </w14:solidFill>
          </w14:textFill>
        </w:rPr>
        <w:t>二、国民接受学校教育状况</w:t>
      </w:r>
      <w:bookmarkEnd w:id="17"/>
      <w:bookmarkEnd w:id="18"/>
    </w:p>
    <w:p>
      <w:pPr>
        <w:pStyle w:val="3"/>
        <w:rPr>
          <w:color w:val="000000" w:themeColor="text1"/>
          <w14:textFill>
            <w14:solidFill>
              <w14:schemeClr w14:val="tx1"/>
            </w14:solidFill>
          </w14:textFill>
        </w:rPr>
      </w:pPr>
      <w:bookmarkStart w:id="19" w:name="_Toc59961111"/>
      <w:bookmarkStart w:id="20" w:name="_Toc9848744"/>
      <w:r>
        <w:rPr>
          <w:color w:val="000000" w:themeColor="text1"/>
          <w14:textFill>
            <w14:solidFill>
              <w14:schemeClr w14:val="tx1"/>
            </w14:solidFill>
          </w14:textFill>
        </w:rPr>
        <w:t>9</w:t>
      </w:r>
      <w:r>
        <w:rPr>
          <w:rFonts w:hint="eastAsia"/>
          <w:color w:val="000000" w:themeColor="text1"/>
          <w14:textFill>
            <w14:solidFill>
              <w14:schemeClr w14:val="tx1"/>
            </w14:solidFill>
          </w14:textFill>
        </w:rPr>
        <w:t>. 学前教育毛入园率（%）</w:t>
      </w:r>
      <w:bookmarkEnd w:id="19"/>
      <w:bookmarkEnd w:id="2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学前教育毛入园率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指</w:t>
      </w:r>
      <w:r>
        <w:rPr>
          <w:color w:val="000000" w:themeColor="text1"/>
          <w14:textFill>
            <w14:solidFill>
              <w14:schemeClr w14:val="tx1"/>
            </w14:solidFill>
          </w14:textFill>
        </w:rPr>
        <w:t>学前教育在园（班）幼儿数（不考虑年龄）占3～5岁年龄组人口数（个别</w:t>
      </w:r>
      <w:r>
        <w:rPr>
          <w:rFonts w:hint="eastAsia"/>
          <w:color w:val="000000" w:themeColor="text1"/>
          <w14:textFill>
            <w14:solidFill>
              <w14:schemeClr w14:val="tx1"/>
            </w14:solidFill>
          </w14:textFill>
        </w:rPr>
        <w:t>地区</w:t>
      </w:r>
      <w:r>
        <w:rPr>
          <w:color w:val="000000" w:themeColor="text1"/>
          <w14:textFill>
            <w14:solidFill>
              <w14:schemeClr w14:val="tx1"/>
            </w14:solidFill>
          </w14:textFill>
        </w:rPr>
        <w:t>为4～6岁年龄组人口数）的百分比。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该指标反映国家及各地为适龄儿童提供学前教育入学机会的总体水平，可作为教育机会类指标。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学前教育毛入园率=学前教育在园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数/3～5岁年龄组人口数（个别</w:t>
      </w:r>
      <w:r>
        <w:rPr>
          <w:rFonts w:hint="eastAsia"/>
          <w:color w:val="000000" w:themeColor="text1"/>
          <w14:textFill>
            <w14:solidFill>
              <w14:schemeClr w14:val="tx1"/>
            </w14:solidFill>
          </w14:textFill>
        </w:rPr>
        <w:t>地区</w:t>
      </w:r>
      <w:r>
        <w:rPr>
          <w:color w:val="000000" w:themeColor="text1"/>
          <w14:textFill>
            <w14:solidFill>
              <w14:schemeClr w14:val="tx1"/>
            </w14:solidFill>
          </w14:textFill>
        </w:rPr>
        <w:t>为4～6岁年龄组人口数）*100%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注：分地区测算时分母采用常住人口数据，学前教育学龄人口年龄范围根据各地规定确定。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、国家统计局人口统计</w:t>
      </w:r>
      <w:r>
        <w:rPr>
          <w:rFonts w:hint="eastAsia"/>
          <w:color w:val="000000" w:themeColor="text1"/>
          <w14:textFill>
            <w14:solidFill>
              <w14:schemeClr w14:val="tx1"/>
            </w14:solidFill>
          </w14:textFill>
        </w:rPr>
        <w:t>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学前教育毛入园率高表明</w:t>
      </w:r>
      <w:r>
        <w:rPr>
          <w:rFonts w:hint="eastAsia"/>
          <w:color w:val="000000" w:themeColor="text1"/>
          <w14:textFill>
            <w14:solidFill>
              <w14:schemeClr w14:val="tx1"/>
            </w14:solidFill>
          </w14:textFill>
        </w:rPr>
        <w:t>全国和各地能为更多</w:t>
      </w:r>
      <w:r>
        <w:rPr>
          <w:color w:val="000000" w:themeColor="text1"/>
          <w14:textFill>
            <w14:solidFill>
              <w14:schemeClr w14:val="tx1"/>
            </w14:solidFill>
          </w14:textFill>
        </w:rPr>
        <w:t>适龄儿童</w:t>
      </w: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接受学前教育</w:t>
      </w:r>
      <w:r>
        <w:rPr>
          <w:rFonts w:hint="eastAsia"/>
          <w:color w:val="000000" w:themeColor="text1"/>
          <w14:textFill>
            <w14:solidFill>
              <w14:schemeClr w14:val="tx1"/>
            </w14:solidFill>
          </w14:textFill>
        </w:rPr>
        <w:t>的机会</w:t>
      </w:r>
      <w:r>
        <w:rPr>
          <w:color w:val="000000" w:themeColor="text1"/>
          <w14:textFill>
            <w14:solidFill>
              <w14:schemeClr w14:val="tx1"/>
            </w14:solidFill>
          </w14:textFill>
        </w:rPr>
        <w:t>，当该指标值达到100%时，表明当前的教育资源</w:t>
      </w:r>
      <w:r>
        <w:rPr>
          <w:rFonts w:hint="eastAsia"/>
          <w:color w:val="000000" w:themeColor="text1"/>
          <w14:textFill>
            <w14:solidFill>
              <w14:schemeClr w14:val="tx1"/>
            </w14:solidFill>
          </w14:textFill>
        </w:rPr>
        <w:t>原则上</w:t>
      </w:r>
      <w:r>
        <w:rPr>
          <w:color w:val="000000" w:themeColor="text1"/>
          <w14:textFill>
            <w14:solidFill>
              <w14:schemeClr w14:val="tx1"/>
            </w14:solidFill>
          </w14:textFill>
        </w:rPr>
        <w:t>可以满足所有适龄儿童接受学前教育</w:t>
      </w:r>
      <w:r>
        <w:rPr>
          <w:rFonts w:hint="eastAsia"/>
          <w:color w:val="000000" w:themeColor="text1"/>
          <w14:textFill>
            <w14:solidFill>
              <w14:schemeClr w14:val="tx1"/>
            </w14:solidFill>
          </w14:textFill>
        </w:rPr>
        <w:t>，但并不能表示所有适龄儿童都已经入园</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由于</w:t>
      </w:r>
      <w:r>
        <w:rPr>
          <w:rFonts w:hint="eastAsia"/>
          <w:color w:val="000000" w:themeColor="text1"/>
          <w14:textFill>
            <w14:solidFill>
              <w14:schemeClr w14:val="tx1"/>
            </w14:solidFill>
          </w14:textFill>
        </w:rPr>
        <w:t>分子中可以</w:t>
      </w:r>
      <w:r>
        <w:rPr>
          <w:color w:val="000000" w:themeColor="text1"/>
          <w14:textFill>
            <w14:solidFill>
              <w14:schemeClr w14:val="tx1"/>
            </w14:solidFill>
          </w14:textFill>
        </w:rPr>
        <w:t>包含</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5岁</w:t>
      </w:r>
      <w:r>
        <w:rPr>
          <w:color w:val="000000" w:themeColor="text1"/>
          <w14:textFill>
            <w14:solidFill>
              <w14:schemeClr w14:val="tx1"/>
            </w14:solidFill>
          </w14:textFill>
        </w:rPr>
        <w:t>年龄组</w:t>
      </w:r>
      <w:r>
        <w:rPr>
          <w:rFonts w:hint="eastAsia"/>
          <w:color w:val="000000" w:themeColor="text1"/>
          <w14:textFill>
            <w14:solidFill>
              <w14:schemeClr w14:val="tx1"/>
            </w14:solidFill>
          </w14:textFill>
        </w:rPr>
        <w:t>外的在园幼儿</w:t>
      </w:r>
      <w:r>
        <w:rPr>
          <w:color w:val="000000" w:themeColor="text1"/>
          <w14:textFill>
            <w14:solidFill>
              <w14:schemeClr w14:val="tx1"/>
            </w14:solidFill>
          </w14:textFill>
        </w:rPr>
        <w:t>，学前教育毛入园率</w:t>
      </w:r>
      <w:r>
        <w:rPr>
          <w:rFonts w:hint="eastAsia"/>
          <w:color w:val="000000" w:themeColor="text1"/>
          <w14:textFill>
            <w14:solidFill>
              <w14:schemeClr w14:val="tx1"/>
            </w14:solidFill>
          </w14:textFill>
        </w:rPr>
        <w:t>可能</w:t>
      </w:r>
      <w:r>
        <w:rPr>
          <w:color w:val="000000" w:themeColor="text1"/>
          <w14:textFill>
            <w14:solidFill>
              <w14:schemeClr w14:val="tx1"/>
            </w14:solidFill>
          </w14:textFill>
        </w:rPr>
        <w:t>会超过100%，同时，</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地区学前教育毛入园率还会受到适龄幼儿地区间流动的影响</w:t>
      </w:r>
      <w:r>
        <w:rPr>
          <w:rFonts w:hint="eastAsia"/>
          <w:color w:val="000000" w:themeColor="text1"/>
          <w14:textFill>
            <w14:solidFill>
              <w14:schemeClr w14:val="tx1"/>
            </w14:solidFill>
          </w14:textFill>
        </w:rPr>
        <w:t>，测算时应采用当地常住人口作为人口基数</w:t>
      </w:r>
      <w:r>
        <w:rPr>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21" w:name="_Toc54862026"/>
      <w:bookmarkStart w:id="22" w:name="_Toc59961112"/>
      <w:r>
        <w:rPr>
          <w:color w:val="000000" w:themeColor="text1"/>
          <w14:textFill>
            <w14:solidFill>
              <w14:schemeClr w14:val="tx1"/>
            </w14:solidFill>
          </w14:textFill>
        </w:rPr>
        <w:t>10</w:t>
      </w:r>
      <w:r>
        <w:rPr>
          <w:rFonts w:hint="eastAsia"/>
          <w:color w:val="000000" w:themeColor="text1"/>
          <w14:textFill>
            <w14:solidFill>
              <w14:schemeClr w14:val="tx1"/>
            </w14:solidFill>
          </w14:textFill>
        </w:rPr>
        <w:t>. 普惠性幼儿园覆盖率（%）</w:t>
      </w:r>
      <w:bookmarkEnd w:id="21"/>
      <w:bookmarkEnd w:id="2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普惠性幼儿园覆盖率，是指公办幼儿园和普惠性民办幼儿园在园（班）幼儿数之和占在园（班）幼儿总数的百分比。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反映了各级政府对公益、普惠性学前教育资源的支持力度</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普惠性幼儿园覆盖率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公办园和普惠性民办园在园（班）幼儿数/</w:t>
      </w:r>
      <w:r>
        <w:rPr>
          <w:color w:val="000000" w:themeColor="text1"/>
          <w14:textFill>
            <w14:solidFill>
              <w14:schemeClr w14:val="tx1"/>
            </w14:solidFill>
          </w14:textFill>
        </w:rPr>
        <w:t>学前教育在园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普惠性幼儿园覆盖率高说明接受普惠性学前教育的幼儿占比高。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该指标仅能反映公益、普惠幼教资源的相对规模，不能完全反映其质量水平与差异。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）公办幼儿园在园幼儿比例（%）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公办园在园（班）幼儿数/</w:t>
      </w:r>
      <w:r>
        <w:rPr>
          <w:color w:val="000000" w:themeColor="text1"/>
          <w14:textFill>
            <w14:solidFill>
              <w14:schemeClr w14:val="tx1"/>
            </w14:solidFill>
          </w14:textFill>
        </w:rPr>
        <w:t>学前教育在园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）民办园中普惠性民办幼儿园在园幼儿比例（%）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普惠性民办幼儿园在园（班）幼儿数/民办幼儿园</w:t>
      </w:r>
      <w:r>
        <w:rPr>
          <w:color w:val="000000" w:themeColor="text1"/>
          <w14:textFill>
            <w14:solidFill>
              <w14:schemeClr w14:val="tx1"/>
            </w14:solidFill>
          </w14:textFill>
        </w:rPr>
        <w:t>在园</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幼儿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3"/>
        <w:rPr>
          <w:color w:val="000000" w:themeColor="text1"/>
          <w14:textFill>
            <w14:solidFill>
              <w14:schemeClr w14:val="tx1"/>
            </w14:solidFill>
          </w14:textFill>
        </w:rPr>
      </w:pPr>
      <w:bookmarkStart w:id="23" w:name="_Toc9848745"/>
      <w:bookmarkStart w:id="24" w:name="_Toc59961113"/>
      <w:r>
        <w:rPr>
          <w:color w:val="000000" w:themeColor="text1"/>
          <w14:textFill>
            <w14:solidFill>
              <w14:schemeClr w14:val="tx1"/>
            </w14:solidFill>
          </w14:textFill>
        </w:rPr>
        <w:t>11</w:t>
      </w:r>
      <w:r>
        <w:rPr>
          <w:rFonts w:hint="eastAsia"/>
          <w:color w:val="000000" w:themeColor="text1"/>
          <w14:textFill>
            <w14:solidFill>
              <w14:schemeClr w14:val="tx1"/>
            </w14:solidFill>
          </w14:textFill>
        </w:rPr>
        <w:t>. 小学招生中接受过学前教育的比例（%）</w:t>
      </w:r>
      <w:bookmarkEnd w:id="23"/>
      <w:bookmarkEnd w:id="2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招</w:t>
      </w:r>
      <w:r>
        <w:rPr>
          <w:color w:val="000000" w:themeColor="text1"/>
          <w14:textFill>
            <w14:solidFill>
              <w14:schemeClr w14:val="tx1"/>
            </w14:solidFill>
          </w14:textFill>
        </w:rPr>
        <w:t>生中接受过学前教育的比例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是指小学一年级新入学学生中接</w:t>
      </w:r>
      <w:r>
        <w:rPr>
          <w:rFonts w:hint="eastAsia"/>
          <w:color w:val="000000" w:themeColor="text1"/>
          <w14:textFill>
            <w14:solidFill>
              <w14:schemeClr w14:val="tx1"/>
            </w14:solidFill>
          </w14:textFill>
        </w:rPr>
        <w:t>受</w:t>
      </w:r>
      <w:r>
        <w:rPr>
          <w:color w:val="000000" w:themeColor="text1"/>
          <w14:textFill>
            <w14:solidFill>
              <w14:schemeClr w14:val="tx1"/>
            </w14:solidFill>
          </w14:textFill>
        </w:rPr>
        <w:t>过学前教育的学生</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占小学</w:t>
      </w:r>
      <w:r>
        <w:rPr>
          <w:rFonts w:hint="eastAsia"/>
          <w:color w:val="000000" w:themeColor="text1"/>
          <w14:textFill>
            <w14:solidFill>
              <w14:schemeClr w14:val="tx1"/>
            </w14:solidFill>
          </w14:textFill>
        </w:rPr>
        <w:t>招生</w:t>
      </w:r>
      <w:r>
        <w:rPr>
          <w:color w:val="000000" w:themeColor="text1"/>
          <w14:textFill>
            <w14:solidFill>
              <w14:schemeClr w14:val="tx1"/>
            </w14:solidFill>
          </w14:textFill>
        </w:rPr>
        <w:t>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w:t>
      </w:r>
      <w:r>
        <w:rPr>
          <w:rFonts w:hint="eastAsia"/>
          <w:color w:val="000000" w:themeColor="text1"/>
          <w14:textFill>
            <w14:solidFill>
              <w14:schemeClr w14:val="tx1"/>
            </w14:solidFill>
          </w14:textFill>
        </w:rPr>
        <w:t>小学招</w:t>
      </w:r>
      <w:r>
        <w:rPr>
          <w:color w:val="000000" w:themeColor="text1"/>
          <w14:textFill>
            <w14:solidFill>
              <w14:schemeClr w14:val="tx1"/>
            </w14:solidFill>
          </w14:textFill>
        </w:rPr>
        <w:t>生中</w:t>
      </w:r>
      <w:r>
        <w:rPr>
          <w:rFonts w:hint="eastAsia"/>
          <w:color w:val="000000" w:themeColor="text1"/>
          <w14:textFill>
            <w14:solidFill>
              <w14:schemeClr w14:val="tx1"/>
            </w14:solidFill>
          </w14:textFill>
        </w:rPr>
        <w:t>接受过学前教育</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情况，可作为教育机会类指标。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招</w:t>
      </w:r>
      <w:r>
        <w:rPr>
          <w:color w:val="000000" w:themeColor="text1"/>
          <w14:textFill>
            <w14:solidFill>
              <w14:schemeClr w14:val="tx1"/>
            </w14:solidFill>
          </w14:textFill>
        </w:rPr>
        <w:t>生中接受过学前教育的学生比例=小学一年级新生中接受过学前教育的学生数/小学一年级招生数*100%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分性别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分城乡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招</w:t>
      </w:r>
      <w:r>
        <w:rPr>
          <w:color w:val="000000" w:themeColor="text1"/>
          <w14:textFill>
            <w14:solidFill>
              <w14:schemeClr w14:val="tx1"/>
            </w14:solidFill>
          </w14:textFill>
        </w:rPr>
        <w:t>生中接受过学前教育的比例高表明</w:t>
      </w:r>
      <w:r>
        <w:rPr>
          <w:rFonts w:hint="eastAsia"/>
          <w:color w:val="000000" w:themeColor="text1"/>
          <w14:textFill>
            <w14:solidFill>
              <w14:schemeClr w14:val="tx1"/>
            </w14:solidFill>
          </w14:textFill>
        </w:rPr>
        <w:t>更多新入学儿童</w:t>
      </w:r>
      <w:r>
        <w:rPr>
          <w:color w:val="000000" w:themeColor="text1"/>
          <w14:textFill>
            <w14:solidFill>
              <w14:schemeClr w14:val="tx1"/>
            </w14:solidFill>
          </w14:textFill>
        </w:rPr>
        <w:t>已</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为接受小学教育做了准备，一般认为，学前教育在儿童今后的教育中将起重要作用。学前教育对小学学习准备的效果会受到学前教育</w:t>
      </w:r>
      <w:r>
        <w:rPr>
          <w:rFonts w:hint="eastAsia"/>
          <w:color w:val="000000" w:themeColor="text1"/>
          <w14:textFill>
            <w14:solidFill>
              <w14:schemeClr w14:val="tx1"/>
            </w14:solidFill>
          </w14:textFill>
        </w:rPr>
        <w:t>质量及参与时间的</w:t>
      </w:r>
      <w:r>
        <w:rPr>
          <w:color w:val="000000" w:themeColor="text1"/>
          <w14:textFill>
            <w14:solidFill>
              <w14:schemeClr w14:val="tx1"/>
            </w14:solidFill>
          </w14:textFill>
        </w:rPr>
        <w:t>影响。</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该指标可能高估</w:t>
      </w:r>
      <w:r>
        <w:rPr>
          <w:rFonts w:hint="eastAsia"/>
          <w:color w:val="000000" w:themeColor="text1"/>
          <w14:textFill>
            <w14:solidFill>
              <w14:schemeClr w14:val="tx1"/>
            </w14:solidFill>
          </w14:textFill>
        </w:rPr>
        <w:t>儿童</w:t>
      </w:r>
      <w:r>
        <w:rPr>
          <w:color w:val="000000" w:themeColor="text1"/>
          <w14:textFill>
            <w14:solidFill>
              <w14:schemeClr w14:val="tx1"/>
            </w14:solidFill>
          </w14:textFill>
        </w:rPr>
        <w:t>学前教育的参与情况，因为接受过学前教育的儿童比未接受过的儿童更</w:t>
      </w:r>
      <w:r>
        <w:rPr>
          <w:rFonts w:hint="eastAsia"/>
          <w:color w:val="000000" w:themeColor="text1"/>
          <w14:textFill>
            <w14:solidFill>
              <w14:schemeClr w14:val="tx1"/>
            </w14:solidFill>
          </w14:textFill>
        </w:rPr>
        <w:t>有可能</w:t>
      </w:r>
      <w:r>
        <w:rPr>
          <w:color w:val="000000" w:themeColor="text1"/>
          <w14:textFill>
            <w14:solidFill>
              <w14:schemeClr w14:val="tx1"/>
            </w14:solidFill>
          </w14:textFill>
        </w:rPr>
        <w:t>继续参加小学教育。对该指标值进行地区间比较时，要考虑儿童地区间流动的影响。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小学招生中接受过一年及以上学前教育的比例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小学一年级新生中接受过一年及以上学前教育的学生数/小学一年级招生数*100%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注：指标中的年按照学年计。</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小学招生中接受过两年及以上学前教育的比例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小学一年级新生中接受过两年及以上学前教育的学生数/小学一年级招生数*100%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注：指标中的年按照学年计。</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小学招生中接受过三年及以上学前教育的比例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小学一年级新生中接受过三年及以上学前教育的学生数/小学一年级招生数*100%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注：指标中的年按照学年计。</w:t>
      </w:r>
    </w:p>
    <w:p>
      <w:pPr>
        <w:pStyle w:val="3"/>
        <w:rPr>
          <w:color w:val="000000" w:themeColor="text1"/>
          <w14:textFill>
            <w14:solidFill>
              <w14:schemeClr w14:val="tx1"/>
            </w14:solidFill>
          </w14:textFill>
        </w:rPr>
      </w:pPr>
      <w:bookmarkStart w:id="25" w:name="_Toc59961114"/>
      <w:bookmarkStart w:id="26" w:name="_Toc9848746"/>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净入学率（%）</w:t>
      </w:r>
      <w:bookmarkEnd w:id="25"/>
      <w:bookmarkEnd w:id="26"/>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净入学率</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某一级教育在校</w:t>
      </w:r>
      <w:r>
        <w:rPr>
          <w:color w:val="000000" w:themeColor="text1"/>
          <w14:textFill>
            <w14:solidFill>
              <w14:schemeClr w14:val="tx1"/>
            </w14:solidFill>
          </w14:textFill>
        </w:rPr>
        <w:t>学龄</w:t>
      </w:r>
      <w:r>
        <w:rPr>
          <w:rFonts w:hint="eastAsia"/>
          <w:color w:val="000000" w:themeColor="text1"/>
          <w14:textFill>
            <w14:solidFill>
              <w14:schemeClr w14:val="tx1"/>
            </w14:solidFill>
          </w14:textFill>
        </w:rPr>
        <w:t>人口数</w:t>
      </w:r>
      <w:r>
        <w:rPr>
          <w:color w:val="000000" w:themeColor="text1"/>
          <w14:textFill>
            <w14:solidFill>
              <w14:schemeClr w14:val="tx1"/>
            </w14:solidFill>
          </w14:textFill>
        </w:rPr>
        <w:t>占该级教育国家规定年龄组人口</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该指标可以准确反映</w:t>
      </w:r>
      <w:r>
        <w:rPr>
          <w:rFonts w:hint="eastAsia"/>
          <w:color w:val="000000" w:themeColor="text1"/>
          <w14:textFill>
            <w14:solidFill>
              <w14:schemeClr w14:val="tx1"/>
            </w14:solidFill>
          </w14:textFill>
        </w:rPr>
        <w:t>各级教育</w:t>
      </w:r>
      <w:r>
        <w:rPr>
          <w:color w:val="000000" w:themeColor="text1"/>
          <w14:textFill>
            <w14:solidFill>
              <w14:schemeClr w14:val="tx1"/>
            </w14:solidFill>
          </w14:textFill>
        </w:rPr>
        <w:t>学龄人口接受</w:t>
      </w:r>
      <w:r>
        <w:rPr>
          <w:rFonts w:hint="eastAsia"/>
          <w:color w:val="000000" w:themeColor="text1"/>
          <w14:textFill>
            <w14:solidFill>
              <w14:schemeClr w14:val="tx1"/>
            </w14:solidFill>
          </w14:textFill>
        </w:rPr>
        <w:t>该级</w:t>
      </w:r>
      <w:r>
        <w:rPr>
          <w:color w:val="000000" w:themeColor="text1"/>
          <w14:textFill>
            <w14:solidFill>
              <w14:schemeClr w14:val="tx1"/>
            </w14:solidFill>
          </w14:textFill>
        </w:rPr>
        <w:t>教育的水平和程度，可作为教育机会类指标。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ascii="黑体" w:hAnsi="黑体" w:eastAsia="黑体"/>
          <w:b/>
          <w:color w:val="000000" w:themeColor="text1"/>
          <w14:textFill>
            <w14:solidFill>
              <w14:schemeClr w14:val="tx1"/>
            </w14:solidFill>
          </w14:textFill>
        </w:rPr>
        <w:t>：</w:t>
      </w:r>
      <w:r>
        <w:rPr>
          <w:color w:val="000000" w:themeColor="text1"/>
          <w14:textFill>
            <w14:solidFill>
              <w14:schemeClr w14:val="tx1"/>
            </w14:solidFill>
          </w14:textFill>
        </w:rPr>
        <w:t>净入学率</w:t>
      </w:r>
      <w:r>
        <w:rPr>
          <w:rFonts w:hint="eastAsia"/>
          <w:color w:val="000000" w:themeColor="text1"/>
          <w14:textFill>
            <w14:solidFill>
              <w14:schemeClr w14:val="tx1"/>
            </w14:solidFill>
          </w14:textFill>
        </w:rPr>
        <w:t>=某一教育在校学龄人口数/该级教育国家规定年龄组人口总数*100%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、国家统计局人口统计数据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分性别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某一级教育</w:t>
      </w:r>
      <w:r>
        <w:rPr>
          <w:color w:val="000000" w:themeColor="text1"/>
          <w14:textFill>
            <w14:solidFill>
              <w14:schemeClr w14:val="tx1"/>
            </w14:solidFill>
          </w14:textFill>
        </w:rPr>
        <w:t>净入学率高表明</w:t>
      </w:r>
      <w:r>
        <w:rPr>
          <w:rFonts w:hint="eastAsia"/>
          <w:color w:val="000000" w:themeColor="text1"/>
          <w14:textFill>
            <w14:solidFill>
              <w14:schemeClr w14:val="tx1"/>
            </w14:solidFill>
          </w14:textFill>
        </w:rPr>
        <w:t>该级教育</w:t>
      </w:r>
      <w:r>
        <w:rPr>
          <w:color w:val="000000" w:themeColor="text1"/>
          <w14:textFill>
            <w14:solidFill>
              <w14:schemeClr w14:val="tx1"/>
            </w14:solidFill>
          </w14:textFill>
        </w:rPr>
        <w:t>适龄儿童接受</w:t>
      </w:r>
      <w:r>
        <w:rPr>
          <w:rFonts w:hint="eastAsia"/>
          <w:color w:val="000000" w:themeColor="text1"/>
          <w14:textFill>
            <w14:solidFill>
              <w14:schemeClr w14:val="tx1"/>
            </w14:solidFill>
          </w14:textFill>
        </w:rPr>
        <w:t>该级</w:t>
      </w:r>
      <w:r>
        <w:rPr>
          <w:color w:val="000000" w:themeColor="text1"/>
          <w14:textFill>
            <w14:solidFill>
              <w14:schemeClr w14:val="tx1"/>
            </w14:solidFill>
          </w14:textFill>
        </w:rPr>
        <w:t>教育的机会</w:t>
      </w:r>
      <w:r>
        <w:rPr>
          <w:rFonts w:hint="eastAsia"/>
          <w:color w:val="000000" w:themeColor="text1"/>
          <w14:textFill>
            <w14:solidFill>
              <w14:schemeClr w14:val="tx1"/>
            </w14:solidFill>
          </w14:textFill>
        </w:rPr>
        <w:t>多</w:t>
      </w:r>
      <w:r>
        <w:rPr>
          <w:color w:val="000000" w:themeColor="text1"/>
          <w14:textFill>
            <w14:solidFill>
              <w14:schemeClr w14:val="tx1"/>
            </w14:solidFill>
          </w14:textFill>
        </w:rPr>
        <w:t>。该指标理论上的最大值为100%，由于存在早入学或晚入学现象，未达到100%并不表示相应比例的学生未入学。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当</w:t>
      </w:r>
      <w:r>
        <w:rPr>
          <w:rFonts w:hint="eastAsia"/>
          <w:color w:val="000000" w:themeColor="text1"/>
          <w14:textFill>
            <w14:solidFill>
              <w14:schemeClr w14:val="tx1"/>
            </w14:solidFill>
          </w14:textFill>
        </w:rPr>
        <w:t>各学段教育</w:t>
      </w:r>
      <w:r>
        <w:rPr>
          <w:color w:val="000000" w:themeColor="text1"/>
          <w14:textFill>
            <w14:solidFill>
              <w14:schemeClr w14:val="tx1"/>
            </w14:solidFill>
          </w14:textFill>
        </w:rPr>
        <w:t>规定的入学日期与人口统计中基于出生日期的人口统计信息不匹配时，会影响对净入学率的分析，如果净入学率超过10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%，说明入学人口与人口统计数据</w:t>
      </w:r>
      <w:r>
        <w:rPr>
          <w:rFonts w:hint="eastAsia"/>
          <w:color w:val="000000" w:themeColor="text1"/>
          <w14:textFill>
            <w14:solidFill>
              <w14:schemeClr w14:val="tx1"/>
            </w14:solidFill>
          </w14:textFill>
        </w:rPr>
        <w:t>可能</w:t>
      </w:r>
      <w:r>
        <w:rPr>
          <w:color w:val="000000" w:themeColor="text1"/>
          <w14:textFill>
            <w14:solidFill>
              <w14:schemeClr w14:val="tx1"/>
            </w14:solidFill>
          </w14:textFill>
        </w:rPr>
        <w:t>不匹配</w:t>
      </w:r>
      <w:r>
        <w:rPr>
          <w:rFonts w:hint="eastAsia"/>
          <w:color w:val="000000" w:themeColor="text1"/>
          <w14:textFill>
            <w14:solidFill>
              <w14:schemeClr w14:val="tx1"/>
            </w14:solidFill>
          </w14:textFill>
        </w:rPr>
        <w:t>。</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小学净入学率</w:t>
      </w:r>
      <w:r>
        <w:rPr>
          <w:b/>
          <w:bCs/>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=小学在校学龄人口数/小学校内外学龄人口数*100%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注：分地区测算时分母采用常住人口数据。</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初中净入学</w:t>
      </w:r>
      <w:r>
        <w:rPr>
          <w:b/>
          <w:bCs/>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=12～14</w:t>
      </w:r>
      <w:r>
        <w:rPr>
          <w:rFonts w:hint="eastAsia"/>
          <w:color w:val="000000" w:themeColor="text1"/>
          <w14:textFill>
            <w14:solidFill>
              <w14:schemeClr w14:val="tx1"/>
            </w14:solidFill>
          </w14:textFill>
        </w:rPr>
        <w:t>岁初中</w:t>
      </w:r>
      <w:r>
        <w:rPr>
          <w:color w:val="000000" w:themeColor="text1"/>
          <w14:textFill>
            <w14:solidFill>
              <w14:schemeClr w14:val="tx1"/>
            </w14:solidFill>
          </w14:textFill>
        </w:rPr>
        <w:t>在校</w:t>
      </w:r>
      <w:r>
        <w:rPr>
          <w:rFonts w:hint="eastAsia"/>
          <w:color w:val="000000" w:themeColor="text1"/>
          <w14:textFill>
            <w14:solidFill>
              <w14:schemeClr w14:val="tx1"/>
            </w14:solidFill>
          </w14:textFill>
        </w:rPr>
        <w:t>生</w:t>
      </w:r>
      <w:r>
        <w:rPr>
          <w:color w:val="000000" w:themeColor="text1"/>
          <w14:textFill>
            <w14:solidFill>
              <w14:schemeClr w14:val="tx1"/>
            </w14:solidFill>
          </w14:textFill>
        </w:rPr>
        <w:t>数/ 年龄组人口数*100%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注：分地区测算时分母采用常住人口数据。</w:t>
      </w:r>
    </w:p>
    <w:p>
      <w:pPr>
        <w:pStyle w:val="3"/>
        <w:rPr>
          <w:color w:val="000000" w:themeColor="text1"/>
          <w14:textFill>
            <w14:solidFill>
              <w14:schemeClr w14:val="tx1"/>
            </w14:solidFill>
          </w14:textFill>
        </w:rPr>
      </w:pPr>
      <w:bookmarkStart w:id="27" w:name="_Toc59961115"/>
      <w:bookmarkStart w:id="28" w:name="_Toc9848747"/>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毛入学率（%）</w:t>
      </w:r>
      <w:bookmarkEnd w:id="27"/>
      <w:bookmarkEnd w:id="28"/>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毛入学率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是指某一级教育不分年龄的在校学生</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占该级教育国家规定年龄组人口</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该指标可反映某一级教育总体的入学水平和能力，可作为教育机会类指标。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毛入学率=某一级教育在校学生总数/</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级教育</w:t>
      </w:r>
      <w:r>
        <w:rPr>
          <w:rFonts w:hint="eastAsia"/>
          <w:color w:val="000000" w:themeColor="text1"/>
          <w14:textFill>
            <w14:solidFill>
              <w14:schemeClr w14:val="tx1"/>
            </w14:solidFill>
          </w14:textFill>
        </w:rPr>
        <w:t>国家规定年龄组人口总数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教育事业统计数据、国家统计局人口统计</w:t>
      </w:r>
      <w:r>
        <w:rPr>
          <w:rFonts w:hint="eastAsia"/>
          <w:color w:val="000000" w:themeColor="text1"/>
          <w14:textFill>
            <w14:solidFill>
              <w14:schemeClr w14:val="tx1"/>
            </w14:solidFill>
          </w14:textFill>
        </w:rPr>
        <w:t>数据、人力资源和社会保障部公布技工学校数据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国家级、省级（高等教育只适用于</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毛入学率高，表明提供的入学机会多。当该指标达到100%时，表明教育资源可以支持所有适龄人口入学，但并不代表所有适龄人口均已入学。当某级教育的毛入学率超过90%时，</w:t>
      </w:r>
      <w:r>
        <w:rPr>
          <w:rFonts w:hint="eastAsia"/>
          <w:color w:val="000000" w:themeColor="text1"/>
          <w14:textFill>
            <w14:solidFill>
              <w14:schemeClr w14:val="tx1"/>
            </w14:solidFill>
          </w14:textFill>
        </w:rPr>
        <w:t>其提供的入学机会已经接近理论入学人数，</w:t>
      </w:r>
      <w:r>
        <w:rPr>
          <w:color w:val="000000" w:themeColor="text1"/>
          <w14:textFill>
            <w14:solidFill>
              <w14:schemeClr w14:val="tx1"/>
            </w14:solidFill>
          </w14:textFill>
        </w:rPr>
        <w:t>表明该级教育提供的入学机会达到普及水平。</w:t>
      </w:r>
      <w:r>
        <w:rPr>
          <w:rFonts w:hint="eastAsia"/>
          <w:color w:val="000000" w:themeColor="text1"/>
          <w14:textFill>
            <w14:solidFill>
              <w14:schemeClr w14:val="tx1"/>
            </w14:solidFill>
          </w14:textFill>
        </w:rPr>
        <w:t>对毛入学率的分析需要结合在校学生年龄分布情况，只有按时入学越来越成为常态，毛入学率的解释才更有意义。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由于包含非正规年龄组学生，</w:t>
      </w:r>
      <w:r>
        <w:rPr>
          <w:rFonts w:hint="eastAsia"/>
          <w:color w:val="000000" w:themeColor="text1"/>
          <w14:textFill>
            <w14:solidFill>
              <w14:schemeClr w14:val="tx1"/>
            </w14:solidFill>
          </w14:textFill>
        </w:rPr>
        <w:t>某级教育</w:t>
      </w:r>
      <w:r>
        <w:rPr>
          <w:color w:val="000000" w:themeColor="text1"/>
          <w14:textFill>
            <w14:solidFill>
              <w14:schemeClr w14:val="tx1"/>
            </w14:solidFill>
          </w14:textFill>
        </w:rPr>
        <w:t>毛入学率可能会超过100%，比较分析时需对此有所考虑。</w:t>
      </w:r>
      <w:r>
        <w:rPr>
          <w:rFonts w:hint="eastAsia"/>
          <w:color w:val="000000" w:themeColor="text1"/>
          <w14:textFill>
            <w14:solidFill>
              <w14:schemeClr w14:val="tx1"/>
            </w14:solidFill>
          </w14:textFill>
        </w:rPr>
        <w:t>一般来说，义务教育普及初期由于超龄儿童少年或者辍学儿童回归学校，义务教育阶段毛入学率可能存在明显超过100%的现象，但随着控辍保学和按时入学等措施的实施，将会回落到100%附近。</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（1）小学毛入学率（%）</w:t>
      </w:r>
    </w:p>
    <w:p>
      <w:pPr>
        <w:rPr>
          <w:color w:val="000000" w:themeColor="text1"/>
          <w14:textFill>
            <w14:solidFill>
              <w14:schemeClr w14:val="tx1"/>
            </w14:solidFill>
          </w14:textFill>
        </w:rPr>
      </w:pPr>
      <w:r>
        <w:rPr>
          <w:color w:val="000000" w:themeColor="text1"/>
          <w14:textFill>
            <w14:solidFill>
              <w14:schemeClr w14:val="tx1"/>
            </w14:solidFill>
          </w14:textFill>
        </w:rPr>
        <w:t>=小学在校生总数/小学校内外学龄人口数*100%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（2）初中毛入学率（%）</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=初中在校生总数/12～14岁年龄组人口数*100%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（3）高中阶段毛入学率（%）</w:t>
      </w:r>
    </w:p>
    <w:p>
      <w:pPr>
        <w:rPr>
          <w:color w:val="000000" w:themeColor="text1"/>
          <w14:textFill>
            <w14:solidFill>
              <w14:schemeClr w14:val="tx1"/>
            </w14:solidFill>
          </w14:textFill>
        </w:rPr>
      </w:pPr>
      <w:r>
        <w:rPr>
          <w:color w:val="000000" w:themeColor="text1"/>
          <w14:textFill>
            <w14:solidFill>
              <w14:schemeClr w14:val="tx1"/>
            </w14:solidFill>
          </w14:textFill>
        </w:rPr>
        <w:t>=高中阶段在校生总数/15～17岁年龄组人口数*100%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高中阶段在校生总数=普通高中在校生数+中等职业</w:t>
      </w:r>
      <w:r>
        <w:rPr>
          <w:color w:val="000000" w:themeColor="text1"/>
          <w14:textFill>
            <w14:solidFill>
              <w14:schemeClr w14:val="tx1"/>
            </w14:solidFill>
          </w14:textFill>
        </w:rPr>
        <w:t>学校在校生数</w:t>
      </w:r>
      <w:r>
        <w:rPr>
          <w:rFonts w:hint="eastAsia"/>
          <w:color w:val="000000" w:themeColor="text1"/>
          <w14:textFill>
            <w14:solidFill>
              <w14:schemeClr w14:val="tx1"/>
            </w14:solidFill>
          </w14:textFill>
        </w:rPr>
        <w:t>+技校在校生+成人高中注册学生数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（4）高等教育毛入学率（%）</w:t>
      </w:r>
    </w:p>
    <w:p>
      <w:pPr>
        <w:rPr>
          <w:color w:val="000000" w:themeColor="text1"/>
          <w14:textFill>
            <w14:solidFill>
              <w14:schemeClr w14:val="tx1"/>
            </w14:solidFill>
          </w14:textFill>
        </w:rPr>
      </w:pPr>
      <w:r>
        <w:rPr>
          <w:color w:val="000000" w:themeColor="text1"/>
          <w14:textFill>
            <w14:solidFill>
              <w14:schemeClr w14:val="tx1"/>
            </w14:solidFill>
          </w14:textFill>
        </w:rPr>
        <w:t>=高等教育</w:t>
      </w:r>
      <w:r>
        <w:rPr>
          <w:rFonts w:hint="eastAsia"/>
          <w:color w:val="000000" w:themeColor="text1"/>
          <w14:textFill>
            <w14:solidFill>
              <w14:schemeClr w14:val="tx1"/>
            </w14:solidFill>
          </w14:textFill>
        </w:rPr>
        <w:t>在学总规模</w:t>
      </w:r>
      <w:r>
        <w:rPr>
          <w:color w:val="000000" w:themeColor="text1"/>
          <w14:textFill>
            <w14:solidFill>
              <w14:schemeClr w14:val="tx1"/>
            </w14:solidFill>
          </w14:textFill>
        </w:rPr>
        <w:t>/18～22岁年龄组人口数*100%</w:t>
      </w:r>
    </w:p>
    <w:p>
      <w:pPr>
        <w:rPr>
          <w:color w:val="000000" w:themeColor="text1"/>
          <w14:textFill>
            <w14:solidFill>
              <w14:schemeClr w14:val="tx1"/>
            </w14:solidFill>
          </w14:textFill>
        </w:rPr>
      </w:pPr>
      <w:r>
        <w:rPr>
          <w:color w:val="000000" w:themeColor="text1"/>
          <w14:textFill>
            <w14:solidFill>
              <w14:schemeClr w14:val="tx1"/>
            </w14:solidFill>
          </w14:textFill>
        </w:rPr>
        <w:t>高等教育在学</w:t>
      </w:r>
      <w:r>
        <w:rPr>
          <w:rFonts w:hint="eastAsia"/>
          <w:color w:val="000000" w:themeColor="text1"/>
          <w14:textFill>
            <w14:solidFill>
              <w14:schemeClr w14:val="tx1"/>
            </w14:solidFill>
          </w14:textFill>
        </w:rPr>
        <w:t>总规模</w:t>
      </w:r>
      <w:r>
        <w:rPr>
          <w:color w:val="000000" w:themeColor="text1"/>
          <w14:textFill>
            <w14:solidFill>
              <w14:schemeClr w14:val="tx1"/>
            </w14:solidFill>
          </w14:textFill>
        </w:rPr>
        <w:t>=普通本专科</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军事院校本专科在校生</w:t>
      </w:r>
      <w:r>
        <w:rPr>
          <w:rFonts w:hint="eastAsia"/>
          <w:color w:val="000000" w:themeColor="text1"/>
          <w14:textFill>
            <w14:solidFill>
              <w14:schemeClr w14:val="tx1"/>
            </w14:solidFill>
          </w14:textFill>
        </w:rPr>
        <w:t>数+其他学历教育折合学生数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其中，“其他学历教育”包括成</w:t>
      </w:r>
      <w:r>
        <w:rPr>
          <w:color w:val="000000" w:themeColor="text1"/>
          <w14:textFill>
            <w14:solidFill>
              <w14:schemeClr w14:val="tx1"/>
            </w14:solidFill>
          </w14:textFill>
        </w:rPr>
        <w:t>人本专科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网络本专科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自学考试</w:t>
      </w:r>
      <w:r>
        <w:rPr>
          <w:rFonts w:hint="eastAsia"/>
          <w:color w:val="000000" w:themeColor="text1"/>
          <w14:textFill>
            <w14:solidFill>
              <w14:schemeClr w14:val="tx1"/>
            </w14:solidFill>
          </w14:textFill>
        </w:rPr>
        <w:t>等</w:t>
      </w:r>
    </w:p>
    <w:p>
      <w:pPr>
        <w:pStyle w:val="3"/>
        <w:rPr>
          <w:color w:val="000000" w:themeColor="text1"/>
          <w14:textFill>
            <w14:solidFill>
              <w14:schemeClr w14:val="tx1"/>
            </w14:solidFill>
          </w14:textFill>
        </w:rPr>
      </w:pPr>
      <w:bookmarkStart w:id="29" w:name="_Toc59961116"/>
      <w:bookmarkStart w:id="30" w:name="_Toc9848748"/>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 义务教育巩固率（%）</w:t>
      </w:r>
      <w:bookmarkEnd w:id="29"/>
      <w:bookmarkEnd w:id="3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义务教育巩固率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是指初中毕业班</w:t>
      </w:r>
      <w:r>
        <w:rPr>
          <w:rFonts w:hint="eastAsia"/>
          <w:color w:val="000000" w:themeColor="text1"/>
          <w14:textFill>
            <w14:solidFill>
              <w14:schemeClr w14:val="tx1"/>
            </w14:solidFill>
          </w14:textFill>
        </w:rPr>
        <w:t>学</w:t>
      </w:r>
      <w:r>
        <w:rPr>
          <w:color w:val="000000" w:themeColor="text1"/>
          <w14:textFill>
            <w14:solidFill>
              <w14:schemeClr w14:val="tx1"/>
            </w14:solidFill>
          </w14:textFill>
        </w:rPr>
        <w:t>生数占该年级</w:t>
      </w:r>
      <w:r>
        <w:rPr>
          <w:rFonts w:hint="eastAsia"/>
          <w:color w:val="000000" w:themeColor="text1"/>
          <w14:textFill>
            <w14:solidFill>
              <w14:schemeClr w14:val="tx1"/>
            </w14:solidFill>
          </w14:textFill>
        </w:rPr>
        <w:t>入</w:t>
      </w:r>
      <w:r>
        <w:rPr>
          <w:color w:val="000000" w:themeColor="text1"/>
          <w14:textFill>
            <w14:solidFill>
              <w14:schemeClr w14:val="tx1"/>
            </w14:solidFill>
          </w14:textFill>
        </w:rPr>
        <w:t>小学一年级时</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该指标提供义务教育阶段学生变动情况的综合信息，能够监测义务教育的内部效益，可作为教育质量类指标。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义务教育巩固率=初中毕业班学生数/该年级</w:t>
      </w:r>
      <w:r>
        <w:rPr>
          <w:rFonts w:hint="eastAsia"/>
          <w:color w:val="000000" w:themeColor="text1"/>
          <w14:textFill>
            <w14:solidFill>
              <w14:schemeClr w14:val="tx1"/>
            </w14:solidFill>
          </w14:textFill>
        </w:rPr>
        <w:t>入</w:t>
      </w:r>
      <w:r>
        <w:rPr>
          <w:color w:val="000000" w:themeColor="text1"/>
          <w14:textFill>
            <w14:solidFill>
              <w14:schemeClr w14:val="tx1"/>
            </w14:solidFill>
          </w14:textFill>
        </w:rPr>
        <w:t>小学一年级时</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注：具体测算时需要考虑学生升级转移流动中各因素的影响，例如休学、复学、转学、重读等。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该指标值高说明更多学生完成了义务教育阶段教育，义务教育的巩固水平高，可作为衡量义务教育质量的重要</w:t>
      </w:r>
      <w:r>
        <w:rPr>
          <w:rFonts w:hint="eastAsia"/>
          <w:color w:val="000000" w:themeColor="text1"/>
          <w14:textFill>
            <w14:solidFill>
              <w14:schemeClr w14:val="tx1"/>
            </w14:solidFill>
          </w14:textFill>
        </w:rPr>
        <w:t>参考</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测算时需要分离出学生休学、复学、复读、转学等因素的影响，因此具体计算时要基于学生年度变动数据进行一定的推算。该指标建议适用于国家级，若省级作为参考用，在上述因素的基础上还需要充分考虑</w:t>
      </w:r>
      <w:r>
        <w:rPr>
          <w:color w:val="000000" w:themeColor="text1"/>
          <w14:textFill>
            <w14:solidFill>
              <w14:schemeClr w14:val="tx1"/>
            </w14:solidFill>
          </w14:textFill>
        </w:rPr>
        <w:t>学生地区间流动的影响</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义务教育阶段年度巩固率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（本年度二年级至九年级在校生总数</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本年度九年级重读生+一年级重读生）/上年度一年级至八年级在校生总</w:t>
      </w:r>
      <w:r>
        <w:rPr>
          <w:color w:val="000000" w:themeColor="text1"/>
          <w14:textFill>
            <w14:solidFill>
              <w14:schemeClr w14:val="tx1"/>
            </w14:solidFill>
          </w14:textFill>
        </w:rPr>
        <w:t>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地方测算时可将符合规定、且办理正式手续的转学、休学等因素纳入考虑。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color w:val="000000" w:themeColor="text1"/>
          <w14:textFill>
            <w14:solidFill>
              <w14:schemeClr w14:val="tx1"/>
            </w14:solidFill>
          </w14:textFill>
        </w:rPr>
        <w:t>该</w:t>
      </w:r>
      <w:r>
        <w:rPr>
          <w:rFonts w:hint="eastAsia"/>
          <w:color w:val="000000" w:themeColor="text1"/>
          <w14:textFill>
            <w14:solidFill>
              <w14:schemeClr w14:val="tx1"/>
            </w14:solidFill>
          </w14:textFill>
        </w:rPr>
        <w:t>指标直接体现政府年度控辍保学的成效，可用于对地方义务教育巩固率的监测评价。</w:t>
      </w:r>
    </w:p>
    <w:p>
      <w:pPr>
        <w:pStyle w:val="3"/>
        <w:rPr>
          <w:color w:val="000000" w:themeColor="text1"/>
          <w14:textFill>
            <w14:solidFill>
              <w14:schemeClr w14:val="tx1"/>
            </w14:solidFill>
          </w14:textFill>
        </w:rPr>
      </w:pPr>
      <w:bookmarkStart w:id="31" w:name="_Toc398192903"/>
      <w:bookmarkStart w:id="32" w:name="_Toc59961117"/>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平均班额（人/班）</w:t>
      </w:r>
      <w:bookmarkEnd w:id="31"/>
      <w:bookmarkEnd w:id="3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平均班额</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幼儿园、中（小）学每个教学班</w:t>
      </w:r>
      <w:r>
        <w:rPr>
          <w:color w:val="000000" w:themeColor="text1"/>
          <w14:textFill>
            <w14:solidFill>
              <w14:schemeClr w14:val="tx1"/>
            </w14:solidFill>
          </w14:textFill>
        </w:rPr>
        <w:t>的平均</w:t>
      </w:r>
      <w:r>
        <w:rPr>
          <w:rFonts w:hint="eastAsia"/>
          <w:color w:val="000000" w:themeColor="text1"/>
          <w14:textFill>
            <w14:solidFill>
              <w14:schemeClr w14:val="tx1"/>
            </w14:solidFill>
          </w14:textFill>
        </w:rPr>
        <w:t>学生</w:t>
      </w:r>
      <w:r>
        <w:rPr>
          <w:color w:val="000000" w:themeColor="text1"/>
          <w14:textFill>
            <w14:solidFill>
              <w14:schemeClr w14:val="tx1"/>
            </w14:solidFill>
          </w14:textFill>
        </w:rPr>
        <w:t>规模。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该指标可反映学校资源配置和学生学习环境的相关信息，可用作教育条件保障类指标。</w:t>
      </w:r>
    </w:p>
    <w:p>
      <w:pPr>
        <w:ind w:firstLine="482"/>
        <w:rPr>
          <w:b/>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平均班额=</w:t>
      </w:r>
      <w:r>
        <w:rPr>
          <w:rFonts w:hint="eastAsia"/>
          <w:color w:val="000000" w:themeColor="text1"/>
          <w14:textFill>
            <w14:solidFill>
              <w14:schemeClr w14:val="tx1"/>
            </w14:solidFill>
          </w14:textFill>
        </w:rPr>
        <w:t>幼儿园、中（小）学</w:t>
      </w:r>
      <w:r>
        <w:rPr>
          <w:color w:val="000000" w:themeColor="text1"/>
          <w14:textFill>
            <w14:solidFill>
              <w14:schemeClr w14:val="tx1"/>
            </w14:solidFill>
          </w14:textFill>
        </w:rPr>
        <w:t>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幼儿园、中（小）学总教学</w:t>
      </w:r>
      <w:r>
        <w:rPr>
          <w:color w:val="000000" w:themeColor="text1"/>
          <w14:textFill>
            <w14:solidFill>
              <w14:schemeClr w14:val="tx1"/>
            </w14:solidFill>
          </w14:textFill>
        </w:rPr>
        <w:t>班数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该指标值的大小</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每个班内的平均学生数</w:t>
      </w:r>
      <w:r>
        <w:rPr>
          <w:rFonts w:hint="eastAsia"/>
          <w:color w:val="000000" w:themeColor="text1"/>
          <w14:textFill>
            <w14:solidFill>
              <w14:schemeClr w14:val="tx1"/>
            </w14:solidFill>
          </w14:textFill>
        </w:rPr>
        <w:t>多少</w:t>
      </w:r>
      <w:r>
        <w:rPr>
          <w:color w:val="000000" w:themeColor="text1"/>
          <w14:textFill>
            <w14:solidFill>
              <w14:schemeClr w14:val="tx1"/>
            </w14:solidFill>
          </w14:textFill>
        </w:rPr>
        <w:t>，班额小能够让教师更关注学生的个体需要，并减少需要处理各种干扰的时间。</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教育质量不完全由班额决定，还会受到学生、教师水平及其</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可利用教育资源的影响。另外，对于全国及各地区，该指标只能反映平均趋势，不能体现校际间的差异。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在</w:t>
      </w:r>
      <w:r>
        <w:rPr>
          <w:rFonts w:hint="eastAsia"/>
          <w:color w:val="000000" w:themeColor="text1"/>
          <w14:textFill>
            <w14:solidFill>
              <w14:schemeClr w14:val="tx1"/>
            </w14:solidFill>
          </w14:textFill>
        </w:rPr>
        <w:t>园（班）幼儿总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幼儿园总教学</w:t>
      </w:r>
      <w:r>
        <w:rPr>
          <w:color w:val="000000" w:themeColor="text1"/>
          <w14:textFill>
            <w14:solidFill>
              <w14:schemeClr w14:val="tx1"/>
            </w14:solidFill>
          </w14:textFill>
        </w:rPr>
        <w:t>班数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=小学在校生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数/小学</w:t>
      </w:r>
      <w:r>
        <w:rPr>
          <w:rFonts w:hint="eastAsia"/>
          <w:color w:val="000000" w:themeColor="text1"/>
          <w14:textFill>
            <w14:solidFill>
              <w14:schemeClr w14:val="tx1"/>
            </w14:solidFill>
          </w14:textFill>
        </w:rPr>
        <w:t>总教学</w:t>
      </w:r>
      <w:r>
        <w:rPr>
          <w:color w:val="000000" w:themeColor="text1"/>
          <w14:textFill>
            <w14:solidFill>
              <w14:schemeClr w14:val="tx1"/>
            </w14:solidFill>
          </w14:textFill>
        </w:rPr>
        <w:t>班数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=初中在校生总数/初中总</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）普通高中平均班额（人/班）</w:t>
      </w:r>
    </w:p>
    <w:p>
      <w:pPr>
        <w:rPr>
          <w:color w:val="000000" w:themeColor="text1"/>
          <w14:textFill>
            <w14:solidFill>
              <w14:schemeClr w14:val="tx1"/>
            </w14:solidFill>
          </w14:textFill>
        </w:rPr>
      </w:pPr>
      <w:r>
        <w:rPr>
          <w:color w:val="000000" w:themeColor="text1"/>
          <w14:textFill>
            <w14:solidFill>
              <w14:schemeClr w14:val="tx1"/>
            </w14:solidFill>
          </w14:textFill>
        </w:rPr>
        <w:t>=普通高中在校生总数/普通高中总</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班数</w:t>
      </w:r>
    </w:p>
    <w:p>
      <w:pPr>
        <w:pStyle w:val="3"/>
        <w:rPr>
          <w:color w:val="000000" w:themeColor="text1"/>
          <w14:textFill>
            <w14:solidFill>
              <w14:schemeClr w14:val="tx1"/>
            </w14:solidFill>
          </w14:textFill>
        </w:rPr>
      </w:pPr>
      <w:bookmarkStart w:id="33" w:name="_Toc59961118"/>
      <w:bookmarkStart w:id="34" w:name="_Toc327464906"/>
      <w:bookmarkStart w:id="35" w:name="_Toc398192904"/>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bookmarkEnd w:id="33"/>
      <w:bookmarkEnd w:id="34"/>
      <w:bookmarkEnd w:id="3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数占</w:t>
      </w:r>
      <w:r>
        <w:rPr>
          <w:rFonts w:hint="eastAsia"/>
          <w:color w:val="000000" w:themeColor="text1"/>
          <w14:textFill>
            <w14:solidFill>
              <w14:schemeClr w14:val="tx1"/>
            </w14:solidFill>
          </w14:textFill>
        </w:rPr>
        <w:t>中（小）学教学</w:t>
      </w:r>
      <w:r>
        <w:rPr>
          <w:color w:val="000000" w:themeColor="text1"/>
          <w14:textFill>
            <w14:solidFill>
              <w14:schemeClr w14:val="tx1"/>
            </w14:solidFill>
          </w14:textFill>
        </w:rPr>
        <w:t>班总数的百分比。小班额指25人及以下的</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该指标提供</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资源配置和学生学习环境的相关信息。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小班额比例=</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小班额班数/</w:t>
      </w:r>
      <w:r>
        <w:rPr>
          <w:rFonts w:hint="eastAsia"/>
          <w:color w:val="000000" w:themeColor="text1"/>
          <w14:textFill>
            <w14:solidFill>
              <w14:schemeClr w14:val="tx1"/>
            </w14:solidFill>
          </w14:textFill>
        </w:rPr>
        <w:t>中（小）学教学</w:t>
      </w:r>
      <w:r>
        <w:rPr>
          <w:color w:val="000000" w:themeColor="text1"/>
          <w14:textFill>
            <w14:solidFill>
              <w14:schemeClr w14:val="tx1"/>
            </w14:solidFill>
          </w14:textFill>
        </w:rPr>
        <w:t>班</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比例高说明对小班教学的推进程度高，与《教育规划纲要》第四章</w:t>
      </w:r>
      <w:r>
        <w:rPr>
          <w:rFonts w:hint="eastAsia"/>
          <w:color w:val="000000" w:themeColor="text1"/>
          <w14:textFill>
            <w14:solidFill>
              <w14:schemeClr w14:val="tx1"/>
            </w14:solidFill>
          </w14:textFill>
        </w:rPr>
        <w:t>“义务教育”</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深化课程与教学方法改革，推行小班教学</w:t>
      </w:r>
      <w:r>
        <w:rPr>
          <w:rFonts w:hint="eastAsia"/>
          <w:color w:val="000000" w:themeColor="text1"/>
          <w14:textFill>
            <w14:solidFill>
              <w14:schemeClr w14:val="tx1"/>
            </w14:solidFill>
          </w14:textFill>
        </w:rPr>
        <w:t>”</w:t>
      </w:r>
      <w:r>
        <w:rPr>
          <w:color w:val="000000" w:themeColor="text1"/>
          <w:vertAlign w:val="superscript"/>
          <w14:textFill>
            <w14:solidFill>
              <w14:schemeClr w14:val="tx1"/>
            </w14:solidFill>
          </w14:textFill>
        </w:rPr>
        <w:footnoteReference w:id="0"/>
      </w:r>
      <w:r>
        <w:rPr>
          <w:color w:val="000000" w:themeColor="text1"/>
          <w14:textFill>
            <w14:solidFill>
              <w14:schemeClr w14:val="tx1"/>
            </w14:solidFill>
          </w14:textFill>
        </w:rPr>
        <w:t>的要求相匹配</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小班额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比例只代表班额设置的一个方向，分析时可结合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平均班额</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大班额比例</w:t>
      </w:r>
      <w:r>
        <w:rPr>
          <w:rFonts w:hint="eastAsia"/>
          <w:color w:val="000000" w:themeColor="text1"/>
          <w14:textFill>
            <w14:solidFill>
              <w14:schemeClr w14:val="tx1"/>
            </w14:solidFill>
          </w14:textFill>
        </w:rPr>
        <w:t>”、“生师比”等指标</w:t>
      </w:r>
      <w:r>
        <w:rPr>
          <w:color w:val="000000" w:themeColor="text1"/>
          <w14:textFill>
            <w14:solidFill>
              <w14:schemeClr w14:val="tx1"/>
            </w14:solidFill>
          </w14:textFill>
        </w:rPr>
        <w:t>综合考虑；另外小班额标准没有设定下限，班额过小也可能会影响教育</w:t>
      </w:r>
      <w:r>
        <w:rPr>
          <w:rFonts w:hint="eastAsia"/>
          <w:color w:val="000000" w:themeColor="text1"/>
          <w14:textFill>
            <w14:solidFill>
              <w14:schemeClr w14:val="tx1"/>
            </w14:solidFill>
          </w14:textFill>
        </w:rPr>
        <w:t>效益</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班额班数/小学</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班额班数/初中</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班额班数/普通高中</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3"/>
        <w:rPr>
          <w:color w:val="000000" w:themeColor="text1"/>
          <w14:textFill>
            <w14:solidFill>
              <w14:schemeClr w14:val="tx1"/>
            </w14:solidFill>
          </w14:textFill>
        </w:rPr>
      </w:pPr>
      <w:bookmarkStart w:id="36" w:name="_Toc398192905"/>
      <w:bookmarkStart w:id="37" w:name="_Toc59961119"/>
      <w:r>
        <w:rPr>
          <w:color w:val="000000" w:themeColor="text1"/>
          <w14:textFill>
            <w14:solidFill>
              <w14:schemeClr w14:val="tx1"/>
            </w14:solidFill>
          </w14:textFill>
        </w:rPr>
        <w:t>17. 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bookmarkEnd w:id="36"/>
      <w:bookmarkEnd w:id="3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数占中（小）学</w:t>
      </w:r>
      <w:r>
        <w:rPr>
          <w:rFonts w:hint="eastAsia"/>
          <w:color w:val="000000" w:themeColor="text1"/>
          <w14:textFill>
            <w14:solidFill>
              <w14:schemeClr w14:val="tx1"/>
            </w14:solidFill>
          </w14:textFill>
        </w:rPr>
        <w:t>教学</w:t>
      </w:r>
      <w:r>
        <w:rPr>
          <w:color w:val="000000" w:themeColor="text1"/>
          <w14:textFill>
            <w14:solidFill>
              <w14:schemeClr w14:val="tx1"/>
            </w14:solidFill>
          </w14:textFill>
        </w:rPr>
        <w:t>班总数的百分比。大班额指56人及以上的</w:t>
      </w:r>
      <w:r>
        <w:rPr>
          <w:rFonts w:hint="eastAsia"/>
          <w:color w:val="000000" w:themeColor="text1"/>
          <w14:textFill>
            <w14:solidFill>
              <w14:schemeClr w14:val="tx1"/>
            </w14:solidFill>
          </w14:textFill>
        </w:rPr>
        <w:t>教学班</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该指标可以反映基础教育学校资源配置和学生学习环境的相关信息，可用作教育条件保障类指标。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比例=中（小）学大班额班数/中（小）学</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该指标值越低越好，指标值高说明大班额现象突出，也从侧面反映教育资源配置</w:t>
      </w:r>
      <w:r>
        <w:rPr>
          <w:rFonts w:hint="eastAsia"/>
          <w:color w:val="000000" w:themeColor="text1"/>
          <w14:textFill>
            <w14:solidFill>
              <w14:schemeClr w14:val="tx1"/>
            </w14:solidFill>
          </w14:textFill>
        </w:rPr>
        <w:t>不均等或</w:t>
      </w:r>
      <w:r>
        <w:rPr>
          <w:color w:val="000000" w:themeColor="text1"/>
          <w14:textFill>
            <w14:solidFill>
              <w14:schemeClr w14:val="tx1"/>
            </w14:solidFill>
          </w14:textFill>
        </w:rPr>
        <w:t>不足。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该指标只反映大班额班所占比例数，未能全面反映大班额班学生超员的整体情况。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=小学大班额班数/小学</w:t>
      </w:r>
      <w:r>
        <w:rPr>
          <w:rFonts w:hint="eastAsia"/>
          <w:color w:val="000000" w:themeColor="text1"/>
          <w14:textFill>
            <w14:solidFill>
              <w14:schemeClr w14:val="tx1"/>
            </w14:solidFill>
          </w14:textFill>
        </w:rPr>
        <w:t>教学班总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（2）初中大班额</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=初中大班额班数/初中</w:t>
      </w:r>
      <w:r>
        <w:rPr>
          <w:rFonts w:hint="eastAsia"/>
          <w:color w:val="000000" w:themeColor="text1"/>
          <w14:textFill>
            <w14:solidFill>
              <w14:schemeClr w14:val="tx1"/>
            </w14:solidFill>
          </w14:textFill>
        </w:rPr>
        <w:t>教学班</w:t>
      </w:r>
      <w:r>
        <w:rPr>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（3）普通高中大班额班比例（%）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=普通高中大班额班数/普通高中</w:t>
      </w:r>
      <w:r>
        <w:rPr>
          <w:rFonts w:hint="eastAsia"/>
          <w:color w:val="000000" w:themeColor="text1"/>
          <w14:textFill>
            <w14:solidFill>
              <w14:schemeClr w14:val="tx1"/>
            </w14:solidFill>
          </w14:textFill>
        </w:rPr>
        <w:t>教学班</w:t>
      </w:r>
      <w:r>
        <w:rPr>
          <w:color w:val="000000" w:themeColor="text1"/>
          <w14:textFill>
            <w14:solidFill>
              <w14:schemeClr w14:val="tx1"/>
            </w14:solidFill>
          </w14:textFill>
        </w:rPr>
        <w:t>总数*100%</w:t>
      </w:r>
    </w:p>
    <w:p>
      <w:pPr>
        <w:pStyle w:val="3"/>
        <w:rPr>
          <w:color w:val="000000" w:themeColor="text1"/>
          <w14:textFill>
            <w14:solidFill>
              <w14:schemeClr w14:val="tx1"/>
            </w14:solidFill>
          </w14:textFill>
        </w:rPr>
      </w:pPr>
      <w:bookmarkStart w:id="38" w:name="_Toc59961120"/>
      <w:bookmarkStart w:id="39" w:name="_Toc398192892"/>
      <w:r>
        <w:rPr>
          <w:rStyle w:val="37"/>
          <w:b/>
          <w:bCs w:val="0"/>
          <w:color w:val="000000" w:themeColor="text1"/>
          <w14:textFill>
            <w14:solidFill>
              <w14:schemeClr w14:val="tx1"/>
            </w14:solidFill>
          </w14:textFill>
        </w:rPr>
        <w:t>18.</w:t>
      </w:r>
      <w:r>
        <w:rPr>
          <w:color w:val="000000" w:themeColor="text1"/>
          <w14:textFill>
            <w14:solidFill>
              <w14:schemeClr w14:val="tx1"/>
            </w14:solidFill>
          </w14:textFill>
        </w:rPr>
        <w:t xml:space="preserve"> 义务教育阶段农村学校在校生中寄宿生所占比例（%）</w:t>
      </w:r>
      <w:bookmarkEnd w:id="3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义务教育阶段农村学校在校生中寄宿生所占比例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是指义务教育阶段农村学校寄宿生数占义务教育阶段农村学校在校生总数的百分比。寄宿生是指在学校统一管理的学生宿舍里住宿的学生。</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该指标可反映农村寄宿制学校建设情况。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义务教育阶段农村学校在校生中寄宿生所占比例=义务教育阶段农村学校寄宿生数/义务教育</w:t>
      </w:r>
      <w:r>
        <w:rPr>
          <w:rFonts w:hint="eastAsia"/>
          <w:color w:val="000000" w:themeColor="text1"/>
          <w14:textFill>
            <w14:solidFill>
              <w14:schemeClr w14:val="tx1"/>
            </w14:solidFill>
          </w14:textFill>
        </w:rPr>
        <w:t>阶段</w:t>
      </w:r>
      <w:r>
        <w:rPr>
          <w:color w:val="000000" w:themeColor="text1"/>
          <w14:textFill>
            <w14:solidFill>
              <w14:schemeClr w14:val="tx1"/>
            </w14:solidFill>
          </w14:textFill>
        </w:rPr>
        <w:t>农村学校在校生总数*100%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该指标可以反映各地区</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农村学校寄宿生比例的高低，在具体解释时需结合当地有寄宿需求学生的实际情况综合评判。</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该指标只反映寄宿生所占比例情况，不能反映寄宿制学校是否满足当地学生的需求，因此，只通过该指标值的大小还不能完全反映各地农村寄宿制学校的建设情况。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（1）农村小学在校生中寄宿生所占比例（%）</w:t>
      </w:r>
    </w:p>
    <w:p>
      <w:pPr>
        <w:rPr>
          <w:rFonts w:ascii="Calibri" w:hAnsi="Calibri"/>
          <w:color w:val="000000" w:themeColor="text1"/>
          <w:sz w:val="21"/>
          <w:szCs w:val="22"/>
          <w14:textFill>
            <w14:solidFill>
              <w14:schemeClr w14:val="tx1"/>
            </w14:solidFill>
          </w14:textFill>
        </w:rPr>
      </w:pPr>
      <w:r>
        <w:rPr>
          <w:color w:val="000000" w:themeColor="text1"/>
          <w14:textFill>
            <w14:solidFill>
              <w14:schemeClr w14:val="tx1"/>
            </w14:solidFill>
          </w14:textFill>
        </w:rPr>
        <w:t>=农村小学寄宿生数/</w:t>
      </w:r>
      <w:r>
        <w:rPr>
          <w:rFonts w:hint="eastAsia"/>
          <w:color w:val="000000" w:themeColor="text1"/>
          <w14:textFill>
            <w14:solidFill>
              <w14:schemeClr w14:val="tx1"/>
            </w14:solidFill>
          </w14:textFill>
        </w:rPr>
        <w:t>农村</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（2）农村初中在校生中寄宿生所占比例（%）</w:t>
      </w:r>
    </w:p>
    <w:p>
      <w:pPr>
        <w:rPr>
          <w:color w:val="000000" w:themeColor="text1"/>
          <w14:textFill>
            <w14:solidFill>
              <w14:schemeClr w14:val="tx1"/>
            </w14:solidFill>
          </w14:textFill>
        </w:rPr>
      </w:pPr>
      <w:r>
        <w:rPr>
          <w:color w:val="000000" w:themeColor="text1"/>
          <w14:textFill>
            <w14:solidFill>
              <w14:schemeClr w14:val="tx1"/>
            </w14:solidFill>
          </w14:textFill>
        </w:rPr>
        <w:t>=农村初中寄宿生数/农村初中在校生总数*100%</w:t>
      </w:r>
    </w:p>
    <w:p>
      <w:pPr>
        <w:pStyle w:val="3"/>
        <w:rPr>
          <w:color w:val="000000" w:themeColor="text1"/>
          <w14:textFill>
            <w14:solidFill>
              <w14:schemeClr w14:val="tx1"/>
            </w14:solidFill>
          </w14:textFill>
        </w:rPr>
      </w:pPr>
      <w:bookmarkStart w:id="40" w:name="_Toc59961121"/>
      <w:r>
        <w:rPr>
          <w:color w:val="000000" w:themeColor="text1"/>
          <w14:textFill>
            <w14:solidFill>
              <w14:schemeClr w14:val="tx1"/>
            </w14:solidFill>
          </w14:textFill>
        </w:rPr>
        <w:t>19. 义务教育阶段农村学校在校生中留守儿童所占比例（%）</w:t>
      </w:r>
      <w:bookmarkEnd w:id="39"/>
      <w:bookmarkEnd w:id="4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义务教育阶段农村学校在校生中留守儿童所占比例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是指义务教育阶段农村学校在校生中留守儿童人数占农村</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在校生总数的</w:t>
      </w:r>
      <w:r>
        <w:rPr>
          <w:rFonts w:hint="eastAsia"/>
          <w:color w:val="000000" w:themeColor="text1"/>
          <w14:textFill>
            <w14:solidFill>
              <w14:schemeClr w14:val="tx1"/>
            </w14:solidFill>
          </w14:textFill>
        </w:rPr>
        <w:t>百分比</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农村学校中留守儿童的规模及入学情况。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义务教育阶段农村学校在校生中留守儿童所占比例=义务教育阶段农村学校在校生中留守儿童人数/义务教育阶段农村学校在校生总数*100%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该指标可以反映各地区</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农村学校中留守儿童比例的高低，</w:t>
      </w:r>
      <w:r>
        <w:rPr>
          <w:rFonts w:hint="eastAsia"/>
          <w:color w:val="000000" w:themeColor="text1"/>
          <w14:textFill>
            <w14:solidFill>
              <w14:schemeClr w14:val="tx1"/>
            </w14:solidFill>
          </w14:textFill>
        </w:rPr>
        <w:t>指标值高说明当地留守儿童的比重高，应给予留守儿童更多关注。</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只能体现义务教育阶段农村留守儿童的相对比重，尚不能</w:t>
      </w:r>
      <w:r>
        <w:rPr>
          <w:color w:val="000000" w:themeColor="text1"/>
          <w14:textFill>
            <w14:solidFill>
              <w14:schemeClr w14:val="tx1"/>
            </w14:solidFill>
          </w14:textFill>
        </w:rPr>
        <w:t>反映一定地区农村留守儿童</w:t>
      </w:r>
      <w:r>
        <w:rPr>
          <w:rFonts w:hint="eastAsia"/>
          <w:color w:val="000000" w:themeColor="text1"/>
          <w14:textFill>
            <w14:solidFill>
              <w14:schemeClr w14:val="tx1"/>
            </w14:solidFill>
          </w14:textFill>
        </w:rPr>
        <w:t>接受教育</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整体</w:t>
      </w:r>
      <w:r>
        <w:rPr>
          <w:color w:val="000000" w:themeColor="text1"/>
          <w14:textFill>
            <w14:solidFill>
              <w14:schemeClr w14:val="tx1"/>
            </w14:solidFill>
          </w14:textFill>
        </w:rPr>
        <w:t>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（1）农村小学在校生中留守儿童所占比例（%）</w:t>
      </w:r>
    </w:p>
    <w:p>
      <w:pPr>
        <w:rPr>
          <w:color w:val="000000" w:themeColor="text1"/>
          <w14:textFill>
            <w14:solidFill>
              <w14:schemeClr w14:val="tx1"/>
            </w14:solidFill>
          </w14:textFill>
        </w:rPr>
      </w:pPr>
      <w:r>
        <w:rPr>
          <w:color w:val="000000" w:themeColor="text1"/>
          <w14:textFill>
            <w14:solidFill>
              <w14:schemeClr w14:val="tx1"/>
            </w14:solidFill>
          </w14:textFill>
        </w:rPr>
        <w:t>=农村小学在校生中留守儿童人数/农村小学在校生总数*100%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（2）农村初中在校生中留守儿童所占比例（%）</w:t>
      </w:r>
    </w:p>
    <w:p>
      <w:pPr>
        <w:rPr>
          <w:color w:val="000000" w:themeColor="text1"/>
          <w14:textFill>
            <w14:solidFill>
              <w14:schemeClr w14:val="tx1"/>
            </w14:solidFill>
          </w14:textFill>
        </w:rPr>
      </w:pPr>
      <w:r>
        <w:rPr>
          <w:color w:val="000000" w:themeColor="text1"/>
          <w14:textFill>
            <w14:solidFill>
              <w14:schemeClr w14:val="tx1"/>
            </w14:solidFill>
          </w14:textFill>
        </w:rPr>
        <w:t>=农村初中在校生中留守儿童人数/农村初中在校生总数*100%</w:t>
      </w:r>
    </w:p>
    <w:p>
      <w:pPr>
        <w:pStyle w:val="3"/>
        <w:rPr>
          <w:color w:val="000000" w:themeColor="text1"/>
          <w14:textFill>
            <w14:solidFill>
              <w14:schemeClr w14:val="tx1"/>
            </w14:solidFill>
          </w14:textFill>
        </w:rPr>
      </w:pPr>
      <w:bookmarkStart w:id="41" w:name="_Toc398192893"/>
      <w:bookmarkStart w:id="42" w:name="_Toc59961122"/>
      <w:r>
        <w:rPr>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义务教育阶段在校生中随迁子女所占比例（%）</w:t>
      </w:r>
      <w:bookmarkEnd w:id="41"/>
      <w:bookmarkEnd w:id="4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义务教育阶段在校生中随迁子女所占比例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是指义务教育阶段在校生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随迁子女数占义务教育阶段在校生总数的百分比。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该指标可以在一定程度上反映输入地随迁子女相对数量以及在当地接受义务教育阶段教育的情况。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义务教育阶段在校生中随迁子女所占比例=义务教育阶段随迁子女在校生数/义务教育阶段在校生总数*100%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学段；分外省迁入、本省外县迁入</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该指标可以反映各地区义务教育阶段在校生中随迁子女比例的高低，在具体解释时</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结合当地随迁儿童入学的实际情况综合评判，该指标值高不一定代表对随迁儿童教育需求的满足度高。</w:t>
      </w:r>
    </w:p>
    <w:p>
      <w:pPr>
        <w:ind w:firstLine="482"/>
        <w:rPr>
          <w:rFonts w:ascii="宋体" w:hAnsi="宋体"/>
          <w:b/>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只通过该指标值的大小还不能完全反映各地区</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随迁子女的入学情况。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（1）小学在校生中随迁子女所占比例（%）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=小学随迁子女在校生数/小学在校生总数*100%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（2）初中在校生中随迁子女所占比例（%）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=初中随迁子女在校生数/初中在校生总数*100%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义务教育阶段在校生中进城务工人员随迁子女所占比例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=义务教育阶段进城务工人员随迁子女在校生数/义务教育阶段在校生总数*100%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（4）小学在校生中进城务工人员随迁子女所占比例（%）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=小学进城务工人员随迁子女在校生数/小学在校生总数*100%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（5）初中在校生中进城务工人员随迁子女所占比例（%）</w:t>
      </w:r>
    </w:p>
    <w:p>
      <w:pPr>
        <w:rPr>
          <w:color w:val="000000" w:themeColor="text1"/>
          <w14:textFill>
            <w14:solidFill>
              <w14:schemeClr w14:val="tx1"/>
            </w14:solidFill>
          </w14:textFill>
        </w:rPr>
      </w:pPr>
      <w:r>
        <w:rPr>
          <w:color w:val="000000" w:themeColor="text1"/>
          <w14:textFill>
            <w14:solidFill>
              <w14:schemeClr w14:val="tx1"/>
            </w14:solidFill>
          </w14:textFill>
        </w:rPr>
        <w:t>=初中进城务工人员随迁子女在校生数/初中在校生总数*100%</w:t>
      </w:r>
    </w:p>
    <w:p>
      <w:pPr>
        <w:pStyle w:val="3"/>
        <w:rPr>
          <w:color w:val="000000" w:themeColor="text1"/>
          <w14:textFill>
            <w14:solidFill>
              <w14:schemeClr w14:val="tx1"/>
            </w14:solidFill>
          </w14:textFill>
        </w:rPr>
      </w:pPr>
      <w:bookmarkStart w:id="43" w:name="_Toc398192895"/>
      <w:bookmarkStart w:id="44" w:name="_Toc59961123"/>
      <w:r>
        <w:rPr>
          <w:color w:val="000000" w:themeColor="text1"/>
          <w14:textFill>
            <w14:solidFill>
              <w14:schemeClr w14:val="tx1"/>
            </w14:solidFill>
          </w14:textFill>
        </w:rPr>
        <w:t>21.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bookmarkEnd w:id="43"/>
      <w:bookmarkEnd w:id="4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是指依据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两为主</w:t>
      </w:r>
      <w:r>
        <w:rPr>
          <w:rFonts w:hint="eastAsia"/>
          <w:color w:val="000000" w:themeColor="text1"/>
          <w14:textFill>
            <w14:solidFill>
              <w14:schemeClr w14:val="tx1"/>
            </w14:solidFill>
          </w14:textFill>
        </w:rPr>
        <w:t>、两纳入”</w:t>
      </w:r>
      <w:r>
        <w:rPr>
          <w:color w:val="000000" w:themeColor="text1"/>
          <w14:textFill>
            <w14:solidFill>
              <w14:schemeClr w14:val="tx1"/>
            </w14:solidFill>
          </w14:textFill>
        </w:rPr>
        <w:t>的原则，义务教育阶段在</w:t>
      </w:r>
      <w:r>
        <w:rPr>
          <w:rFonts w:hint="eastAsia"/>
          <w:color w:val="000000" w:themeColor="text1"/>
          <w14:textFill>
            <w14:solidFill>
              <w14:schemeClr w14:val="tx1"/>
            </w14:solidFill>
          </w14:textFill>
        </w:rPr>
        <w:t>校生中</w:t>
      </w:r>
      <w:r>
        <w:rPr>
          <w:color w:val="000000" w:themeColor="text1"/>
          <w14:textFill>
            <w14:solidFill>
              <w14:schemeClr w14:val="tx1"/>
            </w14:solidFill>
          </w14:textFill>
        </w:rPr>
        <w:t>随迁子女</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公办学校的百分比。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该指标可监测和评价随迁子女平等</w:t>
      </w:r>
      <w:r>
        <w:rPr>
          <w:rFonts w:hint="eastAsia"/>
          <w:color w:val="000000" w:themeColor="text1"/>
          <w14:textFill>
            <w14:solidFill>
              <w14:schemeClr w14:val="tx1"/>
            </w14:solidFill>
          </w14:textFill>
        </w:rPr>
        <w:t>接受</w:t>
      </w:r>
      <w:r>
        <w:rPr>
          <w:color w:val="000000" w:themeColor="text1"/>
          <w14:textFill>
            <w14:solidFill>
              <w14:schemeClr w14:val="tx1"/>
            </w14:solidFill>
          </w14:textFill>
        </w:rPr>
        <w:t>义务教育的情况。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的比例=义务教育阶段随迁子女在公办学校就读的学生数/义务教育阶段随迁子女在校生总数*100%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义务教育阶段随迁子女在公办学校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的比例高，体现输入地为随迁子女提供平等接受义务阶段教育的程度高。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该指标计算结果可能受到输入地公办学校接纳能力的影响，可与指标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义务教育阶段在校生中随迁子女所占比例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结合分析。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=小学随迁子女在公办学校就读的学生数/小学随迁子女在校生总数*100%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=初中随迁子女在公办学校就读的学生数/初中随迁子女在校生总数*100%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义务教育阶段在校生中随迁子女</w:t>
      </w:r>
      <w:r>
        <w:rPr>
          <w:rFonts w:hint="eastAsia"/>
          <w:color w:val="000000" w:themeColor="text1"/>
          <w14:textFill>
            <w14:solidFill>
              <w14:schemeClr w14:val="tx1"/>
            </w14:solidFill>
          </w14:textFill>
        </w:rPr>
        <w:t>享受政府购买学位的</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=义务教育阶段随迁子女</w:t>
      </w:r>
      <w:r>
        <w:rPr>
          <w:rFonts w:hint="eastAsia"/>
          <w:color w:val="000000" w:themeColor="text1"/>
          <w14:textFill>
            <w14:solidFill>
              <w14:schemeClr w14:val="tx1"/>
            </w14:solidFill>
          </w14:textFill>
        </w:rPr>
        <w:t>享受政府购买学位</w:t>
      </w:r>
      <w:r>
        <w:rPr>
          <w:color w:val="000000" w:themeColor="text1"/>
          <w14:textFill>
            <w14:solidFill>
              <w14:schemeClr w14:val="tx1"/>
            </w14:solidFill>
          </w14:textFill>
        </w:rPr>
        <w:t>的学生数/义务教育阶段随迁子女在校生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义务教育阶段在校生中进城务工人员随迁子女在公办学校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=义务教育阶段进城务工人员随迁子女在公办学校就读的学生数/义务教育阶段进城务工人员随迁子女在校生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（5）小学在校生中进城务工人员随迁子女在公办学校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=小学进城务工人员随迁子女在公办学校就读的学生数/小学进城务工人员随迁子女在校生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（6）初中在校生中进城务工人员随迁子女在公办学校</w:t>
      </w:r>
      <w:r>
        <w:rPr>
          <w:rFonts w:hint="eastAsia"/>
          <w:color w:val="000000" w:themeColor="text1"/>
          <w14:textFill>
            <w14:solidFill>
              <w14:schemeClr w14:val="tx1"/>
            </w14:solidFill>
          </w14:textFill>
        </w:rPr>
        <w:t>就读</w:t>
      </w:r>
      <w:r>
        <w:rPr>
          <w:color w:val="000000" w:themeColor="text1"/>
          <w14:textFill>
            <w14:solidFill>
              <w14:schemeClr w14:val="tx1"/>
            </w14:solidFill>
          </w14:textFill>
        </w:rPr>
        <w:t>的比例（%）</w:t>
      </w:r>
    </w:p>
    <w:p>
      <w:pPr>
        <w:rPr>
          <w:color w:val="000000" w:themeColor="text1"/>
          <w14:textFill>
            <w14:solidFill>
              <w14:schemeClr w14:val="tx1"/>
            </w14:solidFill>
          </w14:textFill>
        </w:rPr>
      </w:pPr>
      <w:r>
        <w:rPr>
          <w:color w:val="000000" w:themeColor="text1"/>
          <w14:textFill>
            <w14:solidFill>
              <w14:schemeClr w14:val="tx1"/>
            </w14:solidFill>
          </w14:textFill>
        </w:rPr>
        <w:t>=初中进城务工人员随迁子女在公办学校就读的学生数/初中进城务工人员随迁子女在校生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义务教育阶段在校生中进城务工人员随迁子女</w:t>
      </w:r>
      <w:r>
        <w:rPr>
          <w:rFonts w:hint="eastAsia"/>
          <w:color w:val="000000" w:themeColor="text1"/>
          <w14:textFill>
            <w14:solidFill>
              <w14:schemeClr w14:val="tx1"/>
            </w14:solidFill>
          </w14:textFill>
        </w:rPr>
        <w:t>享受政府购买学位的</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=义务教育阶段进城务工人员随迁子女</w:t>
      </w:r>
      <w:r>
        <w:rPr>
          <w:rFonts w:hint="eastAsia"/>
          <w:color w:val="000000" w:themeColor="text1"/>
          <w14:textFill>
            <w14:solidFill>
              <w14:schemeClr w14:val="tx1"/>
            </w14:solidFill>
          </w14:textFill>
        </w:rPr>
        <w:t>享受政府购买学位</w:t>
      </w:r>
      <w:r>
        <w:rPr>
          <w:color w:val="000000" w:themeColor="text1"/>
          <w14:textFill>
            <w14:solidFill>
              <w14:schemeClr w14:val="tx1"/>
            </w14:solidFill>
          </w14:textFill>
        </w:rPr>
        <w:t>的学生数/义务教育阶段进城务工人员随迁子女在校生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数*100%</w:t>
      </w:r>
    </w:p>
    <w:p>
      <w:pPr>
        <w:pStyle w:val="3"/>
        <w:rPr>
          <w:b w:val="0"/>
          <w:bCs w:val="0"/>
          <w:color w:val="000000" w:themeColor="text1"/>
          <w14:textFill>
            <w14:solidFill>
              <w14:schemeClr w14:val="tx1"/>
            </w14:solidFill>
          </w14:textFill>
        </w:rPr>
      </w:pPr>
      <w:bookmarkStart w:id="45" w:name="_Toc59961124"/>
      <w:bookmarkStart w:id="46" w:name="_Toc54862029"/>
      <w:bookmarkStart w:id="47" w:name="_Toc9848770"/>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残疾儿童少年义务</w:t>
      </w:r>
      <w:r>
        <w:rPr>
          <w:color w:val="000000" w:themeColor="text1"/>
          <w14:textFill>
            <w14:solidFill>
              <w14:schemeClr w14:val="tx1"/>
            </w14:solidFill>
          </w14:textFill>
        </w:rPr>
        <w:t>教育</w:t>
      </w:r>
      <w:r>
        <w:rPr>
          <w:rFonts w:hint="eastAsia"/>
          <w:color w:val="000000" w:themeColor="text1"/>
          <w14:textFill>
            <w14:solidFill>
              <w14:schemeClr w14:val="tx1"/>
            </w14:solidFill>
          </w14:textFill>
        </w:rPr>
        <w:t>阶段入学率（%）</w:t>
      </w:r>
      <w:bookmarkEnd w:id="45"/>
      <w:bookmarkEnd w:id="4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残疾儿童少年义务教育阶段入学率，是指残疾儿童少年义务教育阶段已入学人数（含送教上门）占残疾儿童少年适龄人口总数的百分比。入学人数包括在特殊教育学校就读、在普通中小学随班就读、在普通学校附设特教班学习学生以及送教上门学生，残疾儿童少年适龄人口指6～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岁残疾儿童少年总数。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该指标是教育公平的重要表征，是体现国家对残疾教育儿童少年的重视和关怀的重要指标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残疾儿童少年义务教育</w:t>
      </w:r>
      <w:r>
        <w:rPr>
          <w:color w:val="000000" w:themeColor="text1"/>
          <w14:textFill>
            <w14:solidFill>
              <w14:schemeClr w14:val="tx1"/>
            </w14:solidFill>
          </w14:textFill>
        </w:rPr>
        <w:t>阶段</w:t>
      </w:r>
      <w:r>
        <w:rPr>
          <w:rFonts w:hint="eastAsia"/>
          <w:color w:val="000000" w:themeColor="text1"/>
          <w14:textFill>
            <w14:solidFill>
              <w14:schemeClr w14:val="tx1"/>
            </w14:solidFill>
          </w14:textFill>
        </w:rPr>
        <w:t>入学率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残疾儿童少年义务教育</w:t>
      </w:r>
      <w:r>
        <w:rPr>
          <w:color w:val="000000" w:themeColor="text1"/>
          <w14:textFill>
            <w14:solidFill>
              <w14:schemeClr w14:val="tx1"/>
            </w14:solidFill>
          </w14:textFill>
        </w:rPr>
        <w:t>阶段</w:t>
      </w:r>
      <w:r>
        <w:rPr>
          <w:rFonts w:hint="eastAsia"/>
          <w:color w:val="000000" w:themeColor="text1"/>
          <w14:textFill>
            <w14:solidFill>
              <w14:schemeClr w14:val="tx1"/>
            </w14:solidFill>
          </w14:textFill>
        </w:rPr>
        <w:t>入学学生总数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6～1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岁残疾儿童少年总数*10</w:t>
      </w:r>
      <w:r>
        <w:rPr>
          <w:color w:val="000000" w:themeColor="text1"/>
          <w14:textFill>
            <w14:solidFill>
              <w14:schemeClr w14:val="tx1"/>
            </w14:solidFill>
          </w14:textFill>
        </w:rPr>
        <w:t>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教育事业统计、全国残疾人抽样调查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学段</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残疾儿童少年义务</w:t>
      </w:r>
      <w:r>
        <w:rPr>
          <w:color w:val="000000" w:themeColor="text1"/>
          <w14:textFill>
            <w14:solidFill>
              <w14:schemeClr w14:val="tx1"/>
            </w14:solidFill>
          </w14:textFill>
        </w:rPr>
        <w:t>教育</w:t>
      </w:r>
      <w:r>
        <w:rPr>
          <w:rFonts w:hint="eastAsia"/>
          <w:color w:val="000000" w:themeColor="text1"/>
          <w14:textFill>
            <w14:solidFill>
              <w14:schemeClr w14:val="tx1"/>
            </w14:solidFill>
          </w14:textFill>
        </w:rPr>
        <w:t>阶段入学率越高，说明残疾儿童少年入学机会得到的保障越充分，其基本教育需求得到满足的程度越高，也反映了国家对残疾儿童少年的关怀程度越高。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第一，该指标是数量层面的指标，在数量层面上对残疾儿童少年入学情况进行阐释，不能反映特殊教育质量；第二，大量没有办理残疾证的残疾儿童少年在普通学校“隐性随班就读”，为这个指标的统计提出了挑战；第三，当前我国还缺乏有关分龄残疾儿童少年总数的准确统计。</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（1）残疾儿童少年</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入学率（%）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=就读小学阶段的残疾儿童少年总数/ 6～1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岁残疾儿童少年总数×100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）残疾儿童少年初中入学率（%） </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就读初中阶段的残疾儿童少年总数/</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岁残疾儿童少年总数×1</w:t>
      </w:r>
      <w:r>
        <w:rPr>
          <w:color w:val="000000" w:themeColor="text1"/>
          <w14:textFill>
            <w14:solidFill>
              <w14:schemeClr w14:val="tx1"/>
            </w14:solidFill>
          </w14:textFill>
        </w:rPr>
        <w:t>00%</w:t>
      </w:r>
    </w:p>
    <w:p>
      <w:pPr>
        <w:pStyle w:val="3"/>
        <w:rPr>
          <w:color w:val="000000" w:themeColor="text1"/>
          <w14:textFill>
            <w14:solidFill>
              <w14:schemeClr w14:val="tx1"/>
            </w14:solidFill>
          </w14:textFill>
        </w:rPr>
      </w:pPr>
      <w:bookmarkStart w:id="48" w:name="_Toc398192897"/>
      <w:bookmarkStart w:id="49" w:name="_Toc59961125"/>
      <w:r>
        <w:rPr>
          <w:color w:val="000000" w:themeColor="text1"/>
          <w14:textFill>
            <w14:solidFill>
              <w14:schemeClr w14:val="tx1"/>
            </w14:solidFill>
          </w14:textFill>
        </w:rPr>
        <w:t>23. 义务教育阶段</w:t>
      </w:r>
      <w:r>
        <w:rPr>
          <w:rFonts w:hint="eastAsia"/>
          <w:color w:val="000000" w:themeColor="text1"/>
          <w14:textFill>
            <w14:solidFill>
              <w14:schemeClr w14:val="tx1"/>
            </w14:solidFill>
          </w14:textFill>
        </w:rPr>
        <w:t>随</w:t>
      </w:r>
      <w:r>
        <w:rPr>
          <w:color w:val="000000" w:themeColor="text1"/>
          <w14:textFill>
            <w14:solidFill>
              <w14:schemeClr w14:val="tx1"/>
            </w14:solidFill>
          </w14:textFill>
        </w:rPr>
        <w:t>班就读和在普通学校附设特教班学习的</w:t>
      </w:r>
      <w:r>
        <w:rPr>
          <w:rFonts w:hint="eastAsia"/>
          <w:color w:val="000000" w:themeColor="text1"/>
          <w14:textFill>
            <w14:solidFill>
              <w14:schemeClr w14:val="tx1"/>
            </w14:solidFill>
          </w14:textFill>
        </w:rPr>
        <w:t>残疾人</w:t>
      </w:r>
      <w:r>
        <w:rPr>
          <w:color w:val="000000" w:themeColor="text1"/>
          <w14:textFill>
            <w14:solidFill>
              <w14:schemeClr w14:val="tx1"/>
            </w14:solidFill>
          </w14:textFill>
        </w:rPr>
        <w:t>比例（%）</w:t>
      </w:r>
      <w:bookmarkEnd w:id="48"/>
      <w:bookmarkEnd w:id="4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义务教育阶段随班就读和在普通学校附设特教班学习的</w:t>
      </w:r>
      <w:r>
        <w:rPr>
          <w:rFonts w:hint="eastAsia"/>
          <w:color w:val="000000" w:themeColor="text1"/>
          <w14:textFill>
            <w14:solidFill>
              <w14:schemeClr w14:val="tx1"/>
            </w14:solidFill>
          </w14:textFill>
        </w:rPr>
        <w:t>残疾人</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，是</w:t>
      </w:r>
      <w:r>
        <w:rPr>
          <w:color w:val="000000" w:themeColor="text1"/>
          <w14:textFill>
            <w14:solidFill>
              <w14:schemeClr w14:val="tx1"/>
            </w14:solidFill>
          </w14:textFill>
        </w:rPr>
        <w:t>指义务教育阶段随班就读和在普通学校附设特教班学习的残疾儿童少年在校生数占义务教育阶段特殊教育在校生总数的百分比。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该指标可以监测和评价全国及各地的</w:t>
      </w:r>
      <w:r>
        <w:rPr>
          <w:rFonts w:hint="eastAsia"/>
          <w:color w:val="000000" w:themeColor="text1"/>
          <w14:textFill>
            <w14:solidFill>
              <w14:schemeClr w14:val="tx1"/>
            </w14:solidFill>
          </w14:textFill>
        </w:rPr>
        <w:t>特殊教育发</w:t>
      </w:r>
      <w:r>
        <w:rPr>
          <w:color w:val="000000" w:themeColor="text1"/>
          <w14:textFill>
            <w14:solidFill>
              <w14:schemeClr w14:val="tx1"/>
            </w14:solidFill>
          </w14:textFill>
        </w:rPr>
        <w:t>展</w:t>
      </w:r>
      <w:r>
        <w:rPr>
          <w:rFonts w:hint="eastAsia"/>
          <w:color w:val="000000" w:themeColor="text1"/>
          <w14:textFill>
            <w14:solidFill>
              <w14:schemeClr w14:val="tx1"/>
            </w14:solidFill>
          </w14:textFill>
        </w:rPr>
        <w:t>状况</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义务教育阶段随班就读和在普通学校附设特教班学习的</w:t>
      </w:r>
      <w:r>
        <w:rPr>
          <w:rFonts w:hint="eastAsia"/>
          <w:color w:val="000000" w:themeColor="text1"/>
          <w14:textFill>
            <w14:solidFill>
              <w14:schemeClr w14:val="tx1"/>
            </w14:solidFill>
          </w14:textFill>
        </w:rPr>
        <w:t>残疾人</w:t>
      </w:r>
      <w:r>
        <w:rPr>
          <w:color w:val="000000" w:themeColor="text1"/>
          <w14:textFill>
            <w14:solidFill>
              <w14:schemeClr w14:val="tx1"/>
            </w14:solidFill>
          </w14:textFill>
        </w:rPr>
        <w:t>比例=义务教育阶段随班就读和在普通学校附设特教班学习的残疾儿童少年在校生数/义务教育阶段特殊教育在校生总数*100%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随班就读和普通学校附设特教班学习的残疾</w:t>
      </w:r>
      <w:r>
        <w:rPr>
          <w:rFonts w:hint="eastAsia"/>
          <w:color w:val="000000" w:themeColor="text1"/>
          <w14:textFill>
            <w14:solidFill>
              <w14:schemeClr w14:val="tx1"/>
            </w14:solidFill>
          </w14:textFill>
        </w:rPr>
        <w:t>儿童少年</w:t>
      </w:r>
      <w:r>
        <w:rPr>
          <w:color w:val="000000" w:themeColor="text1"/>
          <w14:textFill>
            <w14:solidFill>
              <w14:schemeClr w14:val="tx1"/>
            </w14:solidFill>
          </w14:textFill>
        </w:rPr>
        <w:t>比例高，说明全国及各地学校在积极创造条件接收残疾</w:t>
      </w:r>
      <w:r>
        <w:rPr>
          <w:rFonts w:hint="eastAsia"/>
          <w:color w:val="000000" w:themeColor="text1"/>
          <w14:textFill>
            <w14:solidFill>
              <w14:schemeClr w14:val="tx1"/>
            </w14:solidFill>
          </w14:textFill>
        </w:rPr>
        <w:t>儿童少年</w:t>
      </w:r>
      <w:r>
        <w:rPr>
          <w:color w:val="000000" w:themeColor="text1"/>
          <w14:textFill>
            <w14:solidFill>
              <w14:schemeClr w14:val="tx1"/>
            </w14:solidFill>
          </w14:textFill>
        </w:rPr>
        <w:t>入学方面做出的成效高。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主要展示了残疾儿童少年在普通学校接受教育的相对规模，尚</w:t>
      </w:r>
      <w:r>
        <w:rPr>
          <w:color w:val="000000" w:themeColor="text1"/>
          <w14:textFill>
            <w14:solidFill>
              <w14:schemeClr w14:val="tx1"/>
            </w14:solidFill>
          </w14:textFill>
        </w:rPr>
        <w:t>不能完全</w:t>
      </w:r>
      <w:r>
        <w:rPr>
          <w:rFonts w:hint="eastAsia"/>
          <w:color w:val="000000" w:themeColor="text1"/>
          <w14:textFill>
            <w14:solidFill>
              <w14:schemeClr w14:val="tx1"/>
            </w14:solidFill>
          </w14:textFill>
        </w:rPr>
        <w:t>反映融合教育的质量，以及残疾儿童少年</w:t>
      </w:r>
      <w:r>
        <w:rPr>
          <w:color w:val="000000" w:themeColor="text1"/>
          <w14:textFill>
            <w14:solidFill>
              <w14:schemeClr w14:val="tx1"/>
            </w14:solidFill>
          </w14:textFill>
        </w:rPr>
        <w:t>教育需求</w:t>
      </w:r>
      <w:r>
        <w:rPr>
          <w:rFonts w:hint="eastAsia"/>
          <w:color w:val="000000" w:themeColor="text1"/>
          <w14:textFill>
            <w14:solidFill>
              <w14:schemeClr w14:val="tx1"/>
            </w14:solidFill>
          </w14:textFill>
        </w:rPr>
        <w:t>得到</w:t>
      </w:r>
      <w:r>
        <w:rPr>
          <w:color w:val="000000" w:themeColor="text1"/>
          <w14:textFill>
            <w14:solidFill>
              <w14:schemeClr w14:val="tx1"/>
            </w14:solidFill>
          </w14:textFill>
        </w:rPr>
        <w:t>满足的情况。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（1）小学随班就读和在普通学校附设特教班学习的残疾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=小学随班就读和在普通学校附设特教班学习的残疾儿童少年在校生数/小学特殊教育在校生总数*100%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（2）初中随班就读和在普通学校附设特教班学习的残疾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=初中随班就读和在普通学校附设特教班学习的残疾儿童少年在校生数/初中特殊教育在校生总数*100%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（3）小学随班就读的残疾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=小学随班就读的残疾儿童少年在校生数/小学特殊教育在校生总数*100%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（4）初中随班就读的残疾</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=初中随班就读的残疾儿童少年在校生数/初中特殊教育在校生总数*100%</w:t>
      </w:r>
    </w:p>
    <w:p>
      <w:pPr>
        <w:pStyle w:val="3"/>
        <w:rPr>
          <w:color w:val="000000" w:themeColor="text1"/>
          <w14:textFill>
            <w14:solidFill>
              <w14:schemeClr w14:val="tx1"/>
            </w14:solidFill>
          </w14:textFill>
        </w:rPr>
      </w:pPr>
      <w:bookmarkStart w:id="50" w:name="_Toc59961126"/>
      <w:r>
        <w:rPr>
          <w:rFonts w:hint="eastAsia"/>
          <w:color w:val="000000" w:themeColor="text1"/>
          <w14:textFill>
            <w14:solidFill>
              <w14:schemeClr w14:val="tx1"/>
            </w14:solidFill>
          </w14:textFill>
        </w:rPr>
        <w:t>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除少数民族语文外其他学科均采用国家通用语言文字授课的少数民族学生比例（%）</w:t>
      </w:r>
      <w:bookmarkEnd w:id="50"/>
    </w:p>
    <w:p>
      <w:pPr>
        <w:ind w:firstLine="482"/>
        <w:rPr>
          <w:rFonts w:ascii="黑体" w:hAnsi="黑体" w:eastAsia="黑体"/>
          <w:b/>
          <w:bCs/>
          <w:color w:val="000000" w:themeColor="text1"/>
          <w14:textFill>
            <w14:solidFill>
              <w14:schemeClr w14:val="tx1"/>
            </w14:solidFill>
          </w14:textFill>
        </w:rPr>
      </w:pPr>
      <w:bookmarkStart w:id="51" w:name="_Toc9848760"/>
      <w:r>
        <w:rPr>
          <w:rFonts w:hint="eastAsia" w:ascii="黑体" w:hAnsi="黑体" w:eastAsia="黑体"/>
          <w:b/>
          <w:bCs/>
          <w:color w:val="000000" w:themeColor="text1"/>
          <w14:textFill>
            <w14:solidFill>
              <w14:schemeClr w14:val="tx1"/>
            </w14:solidFill>
          </w14:textFill>
        </w:rPr>
        <w:t>定义：</w:t>
      </w:r>
      <w:r>
        <w:rPr>
          <w:rFonts w:hint="eastAsia" w:ascii="宋体" w:hAnsi="宋体"/>
          <w:color w:val="000000" w:themeColor="text1"/>
          <w14:textFill>
            <w14:solidFill>
              <w14:schemeClr w14:val="tx1"/>
            </w14:solidFill>
          </w14:textFill>
        </w:rPr>
        <w:t>除少数民族语文外其他学科均采用国家通用语言文字授课的少数民族学生比例，是指某一级教育中除少数民族语文外其他学科均采用国家通用语言文字授课的少数民族在校生数占该级教育少数民族在校生总数的百分比。</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ascii="宋体" w:hAnsi="宋体"/>
          <w:bCs/>
          <w:color w:val="000000" w:themeColor="text1"/>
          <w14:textFill>
            <w14:solidFill>
              <w14:schemeClr w14:val="tx1"/>
            </w14:solidFill>
          </w14:textFill>
        </w:rPr>
        <w:t>该指标可监测各地根据《中华人民共和国国家通用语言文字法》推广普通话和推行规范汉字的力度。</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ascii="宋体" w:hAnsi="宋体"/>
          <w:bCs/>
          <w:color w:val="000000" w:themeColor="text1"/>
          <w14:textFill>
            <w14:solidFill>
              <w14:schemeClr w14:val="tx1"/>
            </w14:solidFill>
          </w14:textFill>
        </w:rPr>
        <w:t>除少数民族语文外其他学科均采用国家通用语言文字授课的少数民族学生比例=某一级教育中除少数民族语文外其他学科均采用国家通用语言文字授课的少数民族在校生数/该级教育少数民族在校生总数*</w:t>
      </w:r>
      <w:r>
        <w:rPr>
          <w:rFonts w:ascii="宋体" w:hAnsi="宋体"/>
          <w:bCs/>
          <w:color w:val="000000" w:themeColor="text1"/>
          <w14:textFill>
            <w14:solidFill>
              <w14:schemeClr w14:val="tx1"/>
            </w14:solidFill>
          </w14:textFill>
        </w:rPr>
        <w:t>100</w:t>
      </w:r>
      <w:r>
        <w:rPr>
          <w:rFonts w:hint="eastAsia" w:ascii="宋体" w:hAnsi="宋体"/>
          <w:bCs/>
          <w:color w:val="000000" w:themeColor="text1"/>
          <w14:textFill>
            <w14:solidFill>
              <w14:schemeClr w14:val="tx1"/>
            </w14:solidFill>
          </w14:textFill>
        </w:rPr>
        <w:t>%</w:t>
      </w:r>
    </w:p>
    <w:p>
      <w:pPr>
        <w:ind w:firstLine="482"/>
        <w:rPr>
          <w:rFonts w:ascii="宋体" w:hAnsi="宋体"/>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ascii="宋体" w:hAnsi="宋体"/>
          <w:bCs/>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ascii="宋体" w:hAnsi="宋体"/>
          <w:bCs/>
          <w:color w:val="000000" w:themeColor="text1"/>
          <w14:textFill>
            <w14:solidFill>
              <w14:schemeClr w14:val="tx1"/>
            </w14:solidFill>
          </w14:textFill>
        </w:rPr>
        <w:t>分学段</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ascii="宋体" w:hAnsi="宋体"/>
          <w:bCs/>
          <w:color w:val="000000" w:themeColor="text1"/>
          <w14:textFill>
            <w14:solidFill>
              <w14:schemeClr w14:val="tx1"/>
            </w14:solidFill>
          </w14:textFill>
        </w:rPr>
        <w:t>国家级、省级、地级、县级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 xml:space="preserve">指标释义： </w:t>
      </w:r>
      <w:r>
        <w:rPr>
          <w:rFonts w:hint="eastAsia" w:ascii="宋体" w:hAnsi="宋体"/>
          <w:bCs/>
          <w:color w:val="000000" w:themeColor="text1"/>
          <w14:textFill>
            <w14:solidFill>
              <w14:schemeClr w14:val="tx1"/>
            </w14:solidFill>
          </w14:textFill>
        </w:rPr>
        <w:t>该指标值越高表明某地区在少数民族学生中推广普通话和推行规范汉字的力度越大，努力程度越高。</w:t>
      </w:r>
    </w:p>
    <w:p>
      <w:pPr>
        <w:ind w:firstLine="482"/>
        <w:rPr>
          <w:rFonts w:ascii="宋体" w:hAnsi="宋体"/>
          <w:b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ascii="宋体" w:hAnsi="宋体"/>
          <w:bCs/>
          <w:color w:val="000000" w:themeColor="text1"/>
          <w14:textFill>
            <w14:solidFill>
              <w14:schemeClr w14:val="tx1"/>
            </w14:solidFill>
          </w14:textFill>
        </w:rPr>
        <w:t>该指标只能在数量层面反映向少数民族推广普通话和推行规划汉字的力度，但无法从质量层面反映上述信息。</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）小学除少数民族语文外其他学科均采用国家通用语言文字授课的少数民族学生比例（%）</w:t>
      </w:r>
    </w:p>
    <w:p>
      <w:pP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=小学除少数民族语文外其他学科均采用国家通用语言文字授课的少数民族在校生数/小学少数民族在校生总数*100%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）初中除少数民族语文外其他学科均采用国家通用语言文字授课的少数民族学生比例（%）</w:t>
      </w:r>
    </w:p>
    <w:p>
      <w:pP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=初中除少数民族语文外其他学科均采用国家通用语言文字授课的少数民族在校生数/初中少数民族在校生总数*100%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）普通高中除少数民族语文外其他学科均采用国家通用语言文字授课的少数民族学生比例（%）</w:t>
      </w:r>
    </w:p>
    <w:p>
      <w:pP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=普通高中除少数民族语文外其他学科均采用国家通用语言文字授课的少数民族在校生数/普通高中少数民族在校生总数*100%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）中等职业学校除少数民族语文外其他学科均采用国家通用语言文字授课的少数民族学生比例（%）</w:t>
      </w:r>
    </w:p>
    <w:p>
      <w:pPr>
        <w:rPr>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=中等职业学校除少数民族语文外其他学科均采用国家通用语言文字授课的少数民族在校生数/中等职业学校少数民族在校生总数*100%</w:t>
      </w:r>
    </w:p>
    <w:p>
      <w:pPr>
        <w:pStyle w:val="3"/>
        <w:rPr>
          <w:color w:val="000000" w:themeColor="text1"/>
          <w14:textFill>
            <w14:solidFill>
              <w14:schemeClr w14:val="tx1"/>
            </w14:solidFill>
          </w14:textFill>
        </w:rPr>
      </w:pPr>
      <w:bookmarkStart w:id="52" w:name="_Toc59961127"/>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 普通高中与中等职业教育招生比</w:t>
      </w:r>
      <w:bookmarkEnd w:id="51"/>
      <w:bookmarkEnd w:id="52"/>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普通高中与中等职业学校招生比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是指普通高中招生数与中等职业教育招生数之比。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各地区高中阶段普通教育和职业教育的结构。</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普通高中与中等职业教育招生比=普通高中招生数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中等职业</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招生数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技工学校数据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该指标值的高低反映</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高中阶段普通教育和职业教育相对</w:t>
      </w:r>
      <w:r>
        <w:rPr>
          <w:rFonts w:hint="eastAsia"/>
          <w:color w:val="000000" w:themeColor="text1"/>
          <w14:textFill>
            <w14:solidFill>
              <w14:schemeClr w14:val="tx1"/>
            </w14:solidFill>
          </w14:textFill>
        </w:rPr>
        <w:t>比率</w:t>
      </w:r>
      <w:r>
        <w:rPr>
          <w:color w:val="000000" w:themeColor="text1"/>
          <w14:textFill>
            <w14:solidFill>
              <w14:schemeClr w14:val="tx1"/>
            </w14:solidFill>
          </w14:textFill>
        </w:rPr>
        <w:t>的大小，以及中等职业教育发展的相对规模。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该指标只能在一定程度上反映中等职业教育发展的总体规模，但无法说明中等职业教育内部的结构情况及其与社会需求的匹配度。</w:t>
      </w:r>
    </w:p>
    <w:p>
      <w:pPr>
        <w:pStyle w:val="3"/>
        <w:rPr>
          <w:color w:val="000000" w:themeColor="text1"/>
          <w14:textFill>
            <w14:solidFill>
              <w14:schemeClr w14:val="tx1"/>
            </w14:solidFill>
          </w14:textFill>
        </w:rPr>
      </w:pPr>
      <w:bookmarkStart w:id="53" w:name="_Toc59961128"/>
      <w:bookmarkStart w:id="54" w:name="_Toc9848761"/>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普通高中与中等职业教育在校生比</w:t>
      </w:r>
      <w:bookmarkEnd w:id="53"/>
      <w:bookmarkEnd w:id="5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普通高中与中等职业教育在校生比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是指普通高中在校生数与中等职业教育在校生数之比。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各地区高中阶段普通教育和职业教育的结构。</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普通高中与中等职业教育在校生比=普通高中在校生数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中等职业</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在校生数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技工学校数据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该指标值的高低反映</w:t>
      </w:r>
      <w:r>
        <w:rPr>
          <w:rFonts w:hint="eastAsia"/>
          <w:color w:val="000000" w:themeColor="text1"/>
          <w14:textFill>
            <w14:solidFill>
              <w14:schemeClr w14:val="tx1"/>
            </w14:solidFill>
          </w14:textFill>
        </w:rPr>
        <w:t>了</w:t>
      </w:r>
      <w:r>
        <w:rPr>
          <w:color w:val="000000" w:themeColor="text1"/>
          <w14:textFill>
            <w14:solidFill>
              <w14:schemeClr w14:val="tx1"/>
            </w14:solidFill>
          </w14:textFill>
        </w:rPr>
        <w:t>高中阶段普通教育和职业教育相对</w:t>
      </w:r>
      <w:r>
        <w:rPr>
          <w:rFonts w:hint="eastAsia"/>
          <w:color w:val="000000" w:themeColor="text1"/>
          <w14:textFill>
            <w14:solidFill>
              <w14:schemeClr w14:val="tx1"/>
            </w14:solidFill>
          </w14:textFill>
        </w:rPr>
        <w:t>比率</w:t>
      </w:r>
      <w:r>
        <w:rPr>
          <w:color w:val="000000" w:themeColor="text1"/>
          <w14:textFill>
            <w14:solidFill>
              <w14:schemeClr w14:val="tx1"/>
            </w14:solidFill>
          </w14:textFill>
        </w:rPr>
        <w:t>的大小，以及中等职业教育发展的相对规模。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该指标只能在一定程度上反映中等职业教育发展的总体规模，无法说明中等职业教育内部的结构情况及其与社会需求的匹配度。</w:t>
      </w:r>
    </w:p>
    <w:p>
      <w:pPr>
        <w:pStyle w:val="3"/>
        <w:rPr>
          <w:color w:val="000000" w:themeColor="text1"/>
          <w14:textFill>
            <w14:solidFill>
              <w14:schemeClr w14:val="tx1"/>
            </w14:solidFill>
          </w14:textFill>
        </w:rPr>
      </w:pPr>
      <w:bookmarkStart w:id="55" w:name="_Toc54862050"/>
      <w:bookmarkStart w:id="56" w:name="_Toc20601882"/>
      <w:bookmarkStart w:id="57" w:name="_Toc59961129"/>
      <w:bookmarkStart w:id="58" w:name="_Toc54862034"/>
      <w:bookmarkStart w:id="59" w:name="_Toc398192907"/>
      <w:r>
        <w:rPr>
          <w:color w:val="000000" w:themeColor="text1"/>
          <w14:textFill>
            <w14:solidFill>
              <w14:schemeClr w14:val="tx1"/>
            </w14:solidFill>
          </w14:textFill>
        </w:rPr>
        <w:t>27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成立家长委员会的学校比例（%）</w:t>
      </w:r>
      <w:bookmarkEnd w:id="55"/>
      <w:bookmarkEnd w:id="56"/>
      <w:bookmarkEnd w:id="5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bookmarkStart w:id="60" w:name="_Hlk19477795"/>
      <w:r>
        <w:rPr>
          <w:rFonts w:hint="eastAsia"/>
          <w:color w:val="000000" w:themeColor="text1"/>
          <w14:textFill>
            <w14:solidFill>
              <w14:schemeClr w14:val="tx1"/>
            </w14:solidFill>
          </w14:textFill>
        </w:rPr>
        <w:t>成立家长委员会的学校比例</w:t>
      </w:r>
      <w:bookmarkEnd w:id="60"/>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某级教育成立家长委员会的学校数占该级教育学校总数的百分比。学校设立家长委员会需要同步配套相关管理办法，覆盖从校到班各层级。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 xml:space="preserve">各级学校家长委员会建设情况。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成立家长委员会的学校比例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某级教育成立家长委员会的学校数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该级教育学校总数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r>
        <w:rPr>
          <w:rFonts w:hint="eastAsia"/>
          <w:color w:val="000000" w:themeColor="text1"/>
          <w14:textFill>
            <w14:solidFill>
              <w14:schemeClr w14:val="tx1"/>
            </w14:solidFill>
          </w14:textFill>
        </w:rPr>
        <w:t xml:space="preserve"> </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越好，</w:t>
      </w:r>
      <w:r>
        <w:rPr>
          <w:rFonts w:hint="eastAsia"/>
          <w:color w:val="000000" w:themeColor="text1"/>
          <w14:textFill>
            <w14:solidFill>
              <w14:schemeClr w14:val="tx1"/>
            </w14:solidFill>
          </w14:textFill>
        </w:rPr>
        <w:t>某地区该</w:t>
      </w:r>
      <w:r>
        <w:rPr>
          <w:color w:val="000000" w:themeColor="text1"/>
          <w14:textFill>
            <w14:solidFill>
              <w14:schemeClr w14:val="tx1"/>
            </w14:solidFill>
          </w14:textFill>
        </w:rPr>
        <w:t>指标值高说明</w:t>
      </w:r>
      <w:r>
        <w:rPr>
          <w:rFonts w:hint="eastAsia"/>
          <w:color w:val="000000" w:themeColor="text1"/>
          <w14:textFill>
            <w14:solidFill>
              <w14:schemeClr w14:val="tx1"/>
            </w14:solidFill>
          </w14:textFill>
        </w:rPr>
        <w:t>该地区家长委员会成立情况好。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该指标只反映</w:t>
      </w:r>
      <w:r>
        <w:rPr>
          <w:rFonts w:hint="eastAsia"/>
          <w:color w:val="000000" w:themeColor="text1"/>
          <w14:textFill>
            <w14:solidFill>
              <w14:schemeClr w14:val="tx1"/>
            </w14:solidFill>
          </w14:textFill>
        </w:rPr>
        <w:t>各地各类学校家长委员会的成立情况，并不能完全反映家长委员会在推进家校合作、家校共育中发挥的实际作用。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（1）幼儿园成立家长委员会的比例（%）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成立家长委员会的幼儿园数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（2）小学成立家长委员会的学校比例（%）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成立家长委员会的小学学校数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小学学校总数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（3）初中成立家长委员会的学校比例（%）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成立家长委员会的初中学校数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初中学校总数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（4）普通高中成立家长委员会的学校比例（%）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成立家长委员会的普通高中学校数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普通高中学校总数</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61" w:name="_Toc59961130"/>
      <w:r>
        <w:rPr>
          <w:color w:val="000000" w:themeColor="text1"/>
          <w14:textFill>
            <w14:solidFill>
              <w14:schemeClr w14:val="tx1"/>
            </w14:solidFill>
          </w14:textFill>
        </w:rPr>
        <w:t>28</w:t>
      </w:r>
      <w:r>
        <w:rPr>
          <w:rFonts w:hint="eastAsia"/>
          <w:color w:val="000000" w:themeColor="text1"/>
          <w14:textFill>
            <w14:solidFill>
              <w14:schemeClr w14:val="tx1"/>
            </w14:solidFill>
          </w14:textFill>
        </w:rPr>
        <w:t>. 义务教育阶段学生学业水平达到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bookmarkEnd w:id="58"/>
      <w:bookmarkEnd w:id="6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义务教育阶段学生学业水平达到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级及以上的比例，是指在国家义务教育质量监测中四年级或八年级学生在某监测科目中综合评价达到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级及以上学生的百分比。义务教育质量监测将学生学业测评成绩划分为四个水平等级，从高到低分别为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4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IV</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级（优秀）、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3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级（良好）、</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级（中等）和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级（待提高）。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用于评价义务教育阶段全国及各地教育质量情况，可作为教育质量的核心指标。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义务教育阶段学生学业水平达到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某学科参加国家义务教育质量监测达到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级及以上评价等级的学生数/某学科参加国家义务教育质量监测的学生总数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义务教育质量监测数据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分学段；分科目；分城乡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义务教育阶段学生发展综合评价达到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级及以上学生比例越高说明学生达到各科目学业中等以上要求的比例越高，反映了义务教育阶段学校教育的质量。</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该指标只能反映义务教育质量监测中学生在各学科中整体达到中等及以上比例的情况，尚不能提供充分的改进信息，需要结合其他因素综合分析。</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（1）四年级学生语文/数学/科学学科综合评价达到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=义务教育质量监测中语文/数学/科学学科达到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级及以上的四年级学生数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参加义务教育质量监测语文/数学/科学学科评价的四年级学生总数*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）八年级学生语文/数学/科学学科综合评价达到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=义务教育质量监测中语文/数学/科学学科达到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ROMAN</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级及以上的八年级学生数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参加义务教育质量监测语文/数学/科学学科评价的八年级学生总数*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）四年级学生语文/数学/科学学科综合评价达到III级及以上的比例（%）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义务教育质量监测中语文/数学/科学学科达到III级及以上的四年级学生数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参加义务教育质量监测语文/数学/科学学科评价的四年级学生总数*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）八年级学生语文/数学/科学学科综合评价达到III级及以上的比例（%）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=义务教育质量监测中语文/数学/科学学科达到III级及以上的八年级学生数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参加义务教育质量监测语文/数学/科学学科评价的八年级学生总数*</w:t>
      </w:r>
      <w:r>
        <w:rPr>
          <w:color w:val="000000" w:themeColor="text1"/>
          <w14:textFill>
            <w14:solidFill>
              <w14:schemeClr w14:val="tx1"/>
            </w14:solidFill>
          </w14:textFill>
        </w:rPr>
        <w:t>100%</w:t>
      </w:r>
    </w:p>
    <w:p>
      <w:pPr>
        <w:pStyle w:val="3"/>
        <w:rPr>
          <w:rStyle w:val="37"/>
          <w:b/>
          <w:bCs/>
          <w:color w:val="000000" w:themeColor="text1"/>
          <w14:textFill>
            <w14:solidFill>
              <w14:schemeClr w14:val="tx1"/>
            </w14:solidFill>
          </w14:textFill>
        </w:rPr>
      </w:pPr>
      <w:bookmarkStart w:id="62" w:name="_Toc59961131"/>
      <w:bookmarkStart w:id="63" w:name="_Toc54862037"/>
      <w:r>
        <w:rPr>
          <w:rStyle w:val="37"/>
          <w:b/>
          <w:bCs/>
          <w:color w:val="000000" w:themeColor="text1"/>
          <w14:textFill>
            <w14:solidFill>
              <w14:schemeClr w14:val="tx1"/>
            </w14:solidFill>
          </w14:textFill>
        </w:rPr>
        <w:t>29</w:t>
      </w:r>
      <w:r>
        <w:rPr>
          <w:rStyle w:val="37"/>
          <w:rFonts w:hint="eastAsia"/>
          <w:b/>
          <w:bCs/>
          <w:color w:val="000000" w:themeColor="text1"/>
          <w14:textFill>
            <w14:solidFill>
              <w14:schemeClr w14:val="tx1"/>
            </w14:solidFill>
          </w14:textFill>
        </w:rPr>
        <w:t>. 学生</w:t>
      </w:r>
      <w:r>
        <w:rPr>
          <w:rStyle w:val="37"/>
          <w:b/>
          <w:bCs/>
          <w:color w:val="000000" w:themeColor="text1"/>
          <w14:textFill>
            <w14:solidFill>
              <w14:schemeClr w14:val="tx1"/>
            </w14:solidFill>
          </w14:textFill>
        </w:rPr>
        <w:t>信息素养</w:t>
      </w:r>
      <w:r>
        <w:rPr>
          <w:rStyle w:val="37"/>
          <w:rFonts w:hint="eastAsia"/>
          <w:b/>
          <w:bCs/>
          <w:color w:val="000000" w:themeColor="text1"/>
          <w14:textFill>
            <w14:solidFill>
              <w14:schemeClr w14:val="tx1"/>
            </w14:solidFill>
          </w14:textFill>
        </w:rPr>
        <w:t>达标率（%）</w:t>
      </w:r>
      <w:bookmarkEnd w:id="62"/>
      <w:bookmarkEnd w:id="6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学生信息素养达标率，是指某一级教育学生信息</w:t>
      </w:r>
      <w:r>
        <w:rPr>
          <w:color w:val="000000" w:themeColor="text1"/>
          <w14:textFill>
            <w14:solidFill>
              <w14:schemeClr w14:val="tx1"/>
            </w14:solidFill>
          </w14:textFill>
        </w:rPr>
        <w:t>素养</w:t>
      </w:r>
      <w:r>
        <w:rPr>
          <w:rFonts w:hint="eastAsia"/>
          <w:color w:val="000000" w:themeColor="text1"/>
          <w14:textFill>
            <w14:solidFill>
              <w14:schemeClr w14:val="tx1"/>
            </w14:solidFill>
          </w14:textFill>
        </w:rPr>
        <w:t>达标学生人数占该级教育参加国家认定学生信息素养测评总人数的百分比。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w:t>
      </w:r>
      <w:r>
        <w:rPr>
          <w:rFonts w:hint="eastAsia"/>
          <w:color w:val="000000" w:themeColor="text1"/>
          <w14:textFill>
            <w14:solidFill>
              <w14:schemeClr w14:val="tx1"/>
            </w14:solidFill>
          </w14:textFill>
        </w:rPr>
        <w:t>标</w:t>
      </w:r>
      <w:r>
        <w:rPr>
          <w:color w:val="000000" w:themeColor="text1"/>
          <w14:textFill>
            <w14:solidFill>
              <w14:schemeClr w14:val="tx1"/>
            </w14:solidFill>
          </w14:textFill>
        </w:rPr>
        <w:t>可监测和评价全国及各地区学生</w:t>
      </w:r>
      <w:r>
        <w:rPr>
          <w:rFonts w:hint="eastAsia"/>
          <w:color w:val="000000" w:themeColor="text1"/>
          <w14:textFill>
            <w14:solidFill>
              <w14:schemeClr w14:val="tx1"/>
            </w14:solidFill>
          </w14:textFill>
        </w:rPr>
        <w:t>信息素养</w:t>
      </w:r>
      <w:r>
        <w:rPr>
          <w:color w:val="000000" w:themeColor="text1"/>
          <w14:textFill>
            <w14:solidFill>
              <w14:schemeClr w14:val="tx1"/>
            </w14:solidFill>
          </w14:textFill>
        </w:rPr>
        <w:t>水平，可作为教育质量类指标。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学生信息素养达标率</w:t>
      </w:r>
      <w:r>
        <w:rPr>
          <w:color w:val="000000" w:themeColor="text1"/>
          <w14:textFill>
            <w14:solidFill>
              <w14:schemeClr w14:val="tx1"/>
            </w14:solidFill>
          </w14:textFill>
        </w:rPr>
        <w:t>=某一级教育学生</w:t>
      </w:r>
      <w:r>
        <w:rPr>
          <w:rFonts w:hint="eastAsia"/>
          <w:color w:val="000000" w:themeColor="text1"/>
          <w14:textFill>
            <w14:solidFill>
              <w14:schemeClr w14:val="tx1"/>
            </w14:solidFill>
          </w14:textFill>
        </w:rPr>
        <w:t>信息素养</w:t>
      </w:r>
      <w:r>
        <w:rPr>
          <w:color w:val="000000" w:themeColor="text1"/>
          <w14:textFill>
            <w14:solidFill>
              <w14:schemeClr w14:val="tx1"/>
            </w14:solidFill>
          </w14:textFill>
        </w:rPr>
        <w:t>达标学生数/该级教育参加</w:t>
      </w:r>
      <w:r>
        <w:rPr>
          <w:rFonts w:hint="eastAsia"/>
          <w:color w:val="000000" w:themeColor="text1"/>
          <w14:textFill>
            <w14:solidFill>
              <w14:schemeClr w14:val="tx1"/>
            </w14:solidFill>
          </w14:textFill>
        </w:rPr>
        <w:t>国家认定学生信息素养测评</w:t>
      </w:r>
      <w:r>
        <w:rPr>
          <w:color w:val="000000" w:themeColor="text1"/>
          <w14:textFill>
            <w14:solidFill>
              <w14:schemeClr w14:val="tx1"/>
            </w14:solidFill>
          </w14:textFill>
        </w:rPr>
        <w:t>人数*100%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国家认定</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学生信息素养测评项目数据</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w:t>
      </w:r>
      <w:r>
        <w:rPr>
          <w:color w:val="000000" w:themeColor="text1"/>
          <w14:textFill>
            <w14:solidFill>
              <w14:schemeClr w14:val="tx1"/>
            </w14:solidFill>
          </w14:textFill>
        </w:rPr>
        <w:t>高说明学生的</w:t>
      </w:r>
      <w:r>
        <w:rPr>
          <w:rFonts w:hint="eastAsia"/>
          <w:color w:val="000000" w:themeColor="text1"/>
          <w14:textFill>
            <w14:solidFill>
              <w14:schemeClr w14:val="tx1"/>
            </w14:solidFill>
          </w14:textFill>
        </w:rPr>
        <w:t>信息素养高，更多</w:t>
      </w:r>
      <w:r>
        <w:rPr>
          <w:color w:val="000000" w:themeColor="text1"/>
          <w14:textFill>
            <w14:solidFill>
              <w14:schemeClr w14:val="tx1"/>
            </w14:solidFill>
          </w14:textFill>
        </w:rPr>
        <w:t>学生达到国家对学生信息素养的相关要求。</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该指标只反映参加国家认定学生信息素养测评的学生信息素养</w:t>
      </w:r>
      <w:r>
        <w:rPr>
          <w:color w:val="000000" w:themeColor="text1"/>
          <w14:textFill>
            <w14:solidFill>
              <w14:schemeClr w14:val="tx1"/>
            </w14:solidFill>
          </w14:textFill>
        </w:rPr>
        <w:t>水平</w:t>
      </w:r>
      <w:r>
        <w:rPr>
          <w:rFonts w:hint="eastAsia"/>
          <w:color w:val="000000" w:themeColor="text1"/>
          <w14:textFill>
            <w14:solidFill>
              <w14:schemeClr w14:val="tx1"/>
            </w14:solidFill>
          </w14:textFill>
        </w:rPr>
        <w:t>，可能与各级教育中全体学生的实际情况有所差异。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=小学信息素养达标学生数/小学参加国家认定学生信息素养测评人数*100%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=初中信息素养达标学生数/初中参加国家认定学生信息素养测评人数*100%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=普通高中信息素养达标学生数/普通高中参加国家认定学生信息素养测评人数*100%  </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=中等职业学校信息素养达标学生数/中等职业学校参加国家认定学生信息素养测评人数*100%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（5）普通高校学生信息素养达标率（%）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=普通高校信息素养达标学生数/普通高校参加国家认定学生信息素养测评人数*100%</w:t>
      </w:r>
    </w:p>
    <w:p>
      <w:pPr>
        <w:pStyle w:val="3"/>
        <w:rPr>
          <w:rStyle w:val="37"/>
          <w:b/>
          <w:bCs/>
          <w:color w:val="000000" w:themeColor="text1"/>
          <w14:textFill>
            <w14:solidFill>
              <w14:schemeClr w14:val="tx1"/>
            </w14:solidFill>
          </w14:textFill>
        </w:rPr>
      </w:pPr>
      <w:bookmarkStart w:id="64" w:name="_Toc59961132"/>
      <w:r>
        <w:rPr>
          <w:rStyle w:val="37"/>
          <w:b/>
          <w:bCs/>
          <w:color w:val="000000" w:themeColor="text1"/>
          <w14:textFill>
            <w14:solidFill>
              <w14:schemeClr w14:val="tx1"/>
            </w14:solidFill>
          </w14:textFill>
        </w:rPr>
        <w:t>30. 学生体质健康达标率（%）</w:t>
      </w:r>
      <w:bookmarkEnd w:id="59"/>
      <w:bookmarkEnd w:id="6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学生体质健康达标率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是指上学年某一级教育学生体质健康达标学生人数占该级教育上学年参加国家学生体质健康标准测试总人数的百分比。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 xml:space="preserve">该指标可监测和评价全国及各地区学生身体素质水平，可作为教育质量类指标。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学生体质健康达标率=上学年某一级教育学生体质健康达标学生数/上学年该级教育参加国家学生体质健康标准测试人数*100%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学生体质健康达标学生数界定为上学年参加国家学生体质健康标准测试成绩为优秀、良好和及格的人数之和</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学生体质健康达标率高，说明学生的身体素质好，更多学生达到国家对学生体质健康的</w:t>
      </w:r>
      <w:r>
        <w:rPr>
          <w:rFonts w:hint="eastAsia"/>
          <w:color w:val="000000" w:themeColor="text1"/>
          <w14:textFill>
            <w14:solidFill>
              <w14:schemeClr w14:val="tx1"/>
            </w14:solidFill>
          </w14:textFill>
        </w:rPr>
        <w:t>最新</w:t>
      </w:r>
      <w:r>
        <w:rPr>
          <w:color w:val="000000" w:themeColor="text1"/>
          <w14:textFill>
            <w14:solidFill>
              <w14:schemeClr w14:val="tx1"/>
            </w14:solidFill>
          </w14:textFill>
        </w:rPr>
        <w:t>相关要求</w:t>
      </w:r>
      <w:r>
        <w:rPr>
          <w:rStyle w:val="36"/>
          <w:color w:val="000000" w:themeColor="text1"/>
          <w14:textFill>
            <w14:solidFill>
              <w14:schemeClr w14:val="tx1"/>
            </w14:solidFill>
          </w14:textFill>
        </w:rPr>
        <w:footnoteReference w:id="1"/>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目前该指标只是对参加国家学生体质健康标准测试学生的分析，可能与各级教育中全体学生的实际情况有所差异。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=上学年小学体质健康达标学生数/上学年小学参加国家学生体质健康标准测试人数*100%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=上学年初中体质健康达标学生数/上学年初中参加国家学生体质健康标准测试人数*100%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=上学年普通高中体质健康达标学生数/上学年普通高中参加国家学生体质健康标准测试人数*100%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=上学年中等职业学校体质健康达标学生数/上学年中等职业学校参加国家学生体质健康标准测试人数*100%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（5）普通高校学生体质健康达标率（%）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=上学年普通高校体质健康达标学生数/上学年普通高校参加国家学生体质健康标准测试人数*100%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（6）小学学生体质健康优良率（%）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=上学年小学体质健康优良学生数/上学年小学参加国家学生体质健康标准测试人数*100%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学生体质健康优良学生数界定为上学年参加国家学生体质健康标准测试成绩为优秀</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良好的人数之和。</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（7）初中学生体质健康优良率（%）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=上学年初中体质健康优良学生数/上学</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初中参加国家学生体质健康标准测试人数*100%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（8）普通高中学生体质健康优良率（%）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=上学年普通高中体质健康优良学生数/上学年普通高中参加国家学生体质健康标准测试人数*100%  </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（9）中等职业学校学生体质健康优良率（%）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=上学年中等职业学校体质健康优良学生数/上学年中等职业学校参加国家学生体质健康标准测试人数*100%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（10）普通高校学生体质健康优良率（%）</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=上学年普通高校体质健康优良学生数/上学年普通高校参加国家学生体质健康标准测试人数*100% </w:t>
      </w:r>
    </w:p>
    <w:bookmarkEnd w:id="47"/>
    <w:p>
      <w:pPr>
        <w:pStyle w:val="3"/>
        <w:rPr>
          <w:rStyle w:val="37"/>
          <w:b/>
          <w:bCs/>
          <w:color w:val="000000" w:themeColor="text1"/>
          <w14:textFill>
            <w14:solidFill>
              <w14:schemeClr w14:val="tx1"/>
            </w14:solidFill>
          </w14:textFill>
        </w:rPr>
      </w:pPr>
      <w:bookmarkStart w:id="65" w:name="_Toc54862035"/>
      <w:bookmarkStart w:id="66" w:name="_Toc21418940"/>
      <w:bookmarkStart w:id="67" w:name="_Toc59961133"/>
      <w:bookmarkStart w:id="68" w:name="_Toc54862030"/>
      <w:bookmarkStart w:id="69" w:name="_Toc398192909"/>
      <w:bookmarkStart w:id="70" w:name="_Toc398192913"/>
      <w:bookmarkStart w:id="71" w:name="_Toc9848772"/>
      <w:r>
        <w:rPr>
          <w:rStyle w:val="37"/>
          <w:b/>
          <w:bCs/>
          <w:color w:val="000000" w:themeColor="text1"/>
          <w14:textFill>
            <w14:solidFill>
              <w14:schemeClr w14:val="tx1"/>
            </w14:solidFill>
          </w14:textFill>
        </w:rPr>
        <w:t>31</w:t>
      </w:r>
      <w:r>
        <w:rPr>
          <w:rStyle w:val="37"/>
          <w:rFonts w:hint="eastAsia"/>
          <w:b/>
          <w:bCs/>
          <w:color w:val="000000" w:themeColor="text1"/>
          <w14:textFill>
            <w14:solidFill>
              <w14:schemeClr w14:val="tx1"/>
            </w14:solidFill>
          </w14:textFill>
        </w:rPr>
        <w:t>. 学生肥胖率（%）</w:t>
      </w:r>
      <w:bookmarkEnd w:id="65"/>
      <w:bookmarkEnd w:id="66"/>
      <w:bookmarkEnd w:id="67"/>
      <w:r>
        <w:rPr>
          <w:rStyle w:val="37"/>
          <w:rFonts w:hint="eastAsia"/>
          <w:b/>
          <w:bCs/>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是指上学年某一级教育学生</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学生人数占该级教育上学年参加国家学生体质健康标准测试总人数的百分比。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w:t>
      </w:r>
      <w:r>
        <w:rPr>
          <w:rFonts w:hint="eastAsia"/>
          <w:color w:val="000000" w:themeColor="text1"/>
          <w14:textFill>
            <w14:solidFill>
              <w14:schemeClr w14:val="tx1"/>
            </w14:solidFill>
          </w14:textFill>
        </w:rPr>
        <w:t>标</w:t>
      </w:r>
      <w:r>
        <w:rPr>
          <w:color w:val="000000" w:themeColor="text1"/>
          <w14:textFill>
            <w14:solidFill>
              <w14:schemeClr w14:val="tx1"/>
            </w14:solidFill>
          </w14:textFill>
        </w:rPr>
        <w:t xml:space="preserve">可监测和评价全国及各地区学生身体素质水平，可作为教育质量类指标。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率=上学年某一级教育学生</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学生数/上学年该级教育参加国家学生体质健康标准测试人数*100%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国家学生体质健康标准测试</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r>
        <w:rPr>
          <w:rFonts w:hint="eastAsia"/>
          <w:color w:val="000000" w:themeColor="text1"/>
          <w14:textFill>
            <w14:solidFill>
              <w14:schemeClr w14:val="tx1"/>
            </w14:solidFill>
          </w14:textFill>
        </w:rPr>
        <w:t>低</w:t>
      </w:r>
      <w:r>
        <w:rPr>
          <w:color w:val="000000" w:themeColor="text1"/>
          <w14:textFill>
            <w14:solidFill>
              <w14:schemeClr w14:val="tx1"/>
            </w14:solidFill>
          </w14:textFill>
        </w:rPr>
        <w:t>，说明学生的身体素质</w:t>
      </w:r>
      <w:r>
        <w:rPr>
          <w:rFonts w:hint="eastAsia"/>
          <w:color w:val="000000" w:themeColor="text1"/>
          <w14:textFill>
            <w14:solidFill>
              <w14:schemeClr w14:val="tx1"/>
            </w14:solidFill>
          </w14:textFill>
        </w:rPr>
        <w:t>相对较</w:t>
      </w:r>
      <w:r>
        <w:rPr>
          <w:color w:val="000000" w:themeColor="text1"/>
          <w14:textFill>
            <w14:solidFill>
              <w14:schemeClr w14:val="tx1"/>
            </w14:solidFill>
          </w14:textFill>
        </w:rPr>
        <w:t>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目前该指标只是对参加国家学生体质健康标准测试学生的分析，可能与各级教育中全体学生的实际情况有所差异。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=上学年小学</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学生数/上学年小学参加国家学生体质健康标准测试人数*100%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=上学年初中</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初中参加国家学生体质健康标准测试人数*100%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=上学年普通高中</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学生数/上学年普通高中参加国家学生体质健康标准测试人数*100%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学生数/上学年中等职业学校参加国家学生体质健康标准测试人数*100%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（5）普通高校学生</w:t>
      </w:r>
      <w:r>
        <w:rPr>
          <w:rFonts w:hint="eastAsia"/>
          <w:color w:val="000000" w:themeColor="text1"/>
          <w14:textFill>
            <w14:solidFill>
              <w14:schemeClr w14:val="tx1"/>
            </w14:solidFill>
          </w14:textFill>
        </w:rPr>
        <w:t>肥胖</w:t>
      </w:r>
      <w:r>
        <w:rPr>
          <w:color w:val="000000" w:themeColor="text1"/>
          <w14:textFill>
            <w14:solidFill>
              <w14:schemeClr w14:val="tx1"/>
            </w14:solidFill>
          </w14:textFill>
        </w:rPr>
        <w:t>率（%）</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=上学年普通高校</w:t>
      </w:r>
      <w:r>
        <w:rPr>
          <w:rFonts w:hint="eastAsia"/>
          <w:color w:val="000000" w:themeColor="text1"/>
          <w14:textFill>
            <w14:solidFill>
              <w14:schemeClr w14:val="tx1"/>
            </w14:solidFill>
          </w14:textFill>
        </w:rPr>
        <w:t>体重指数（BMI）达到“肥胖”级别的</w:t>
      </w:r>
      <w:r>
        <w:rPr>
          <w:color w:val="000000" w:themeColor="text1"/>
          <w14:textFill>
            <w14:solidFill>
              <w14:schemeClr w14:val="tx1"/>
            </w14:solidFill>
          </w14:textFill>
        </w:rPr>
        <w:t xml:space="preserve">学生数/上学年普通高校参加国家学生体质健康标准测试人数*100% </w:t>
      </w:r>
    </w:p>
    <w:p>
      <w:pPr>
        <w:pStyle w:val="3"/>
        <w:rPr>
          <w:rStyle w:val="37"/>
          <w:b/>
          <w:bCs/>
          <w:color w:val="000000" w:themeColor="text1"/>
          <w14:textFill>
            <w14:solidFill>
              <w14:schemeClr w14:val="tx1"/>
            </w14:solidFill>
          </w14:textFill>
        </w:rPr>
      </w:pPr>
      <w:bookmarkStart w:id="72" w:name="_Toc54862036"/>
      <w:bookmarkStart w:id="73" w:name="_Toc59961134"/>
      <w:r>
        <w:rPr>
          <w:rStyle w:val="37"/>
          <w:b/>
          <w:bCs/>
          <w:color w:val="000000" w:themeColor="text1"/>
          <w14:textFill>
            <w14:solidFill>
              <w14:schemeClr w14:val="tx1"/>
            </w14:solidFill>
          </w14:textFill>
        </w:rPr>
        <w:t xml:space="preserve">32. </w:t>
      </w:r>
      <w:r>
        <w:rPr>
          <w:rStyle w:val="37"/>
          <w:rFonts w:hint="eastAsia"/>
          <w:b/>
          <w:bCs/>
          <w:color w:val="000000" w:themeColor="text1"/>
          <w14:textFill>
            <w14:solidFill>
              <w14:schemeClr w14:val="tx1"/>
            </w14:solidFill>
          </w14:textFill>
        </w:rPr>
        <w:t>学生视力不良率（%）</w:t>
      </w:r>
      <w:bookmarkEnd w:id="72"/>
      <w:bookmarkEnd w:id="7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学生视力不良率是指某一级教育中视力不良的在校生数占该级教育在校生总数的百分比。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掌握学生体质健康状况，反映青少年近视防控工作效果。</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学生视力不良率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某一级教育视力不良的在校生数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该级教育在校生总数*100%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全国学生体质与健康调查数据、学生视力健康状况调查数据、义务教育质量监测数据等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（中等职业学校除外）</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 xml:space="preserve"> 该指标值越高</w:t>
      </w:r>
      <w:r>
        <w:rPr>
          <w:rFonts w:hint="eastAsia"/>
          <w:color w:val="000000" w:themeColor="text1"/>
          <w14:textFill>
            <w14:solidFill>
              <w14:schemeClr w14:val="tx1"/>
            </w14:solidFill>
          </w14:textFill>
        </w:rPr>
        <w:t>，学生视力不良的人数越多，青少年近视问题越严重。</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近视防控工作需要长期持续推进，其效果可能无法在短时间内完全显现。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视力不良在校生数</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在校生总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初中视力不良在校生数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初中在校生总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普通高中视力不良在校生数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普通高中在校生总</w:t>
      </w:r>
      <w:r>
        <w:rPr>
          <w:color w:val="000000" w:themeColor="text1"/>
          <w14:textFill>
            <w14:solidFill>
              <w14:schemeClr w14:val="tx1"/>
            </w14:solidFill>
          </w14:textFill>
        </w:rPr>
        <w:t>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（4）中等职业学校学生</w:t>
      </w:r>
      <w:r>
        <w:rPr>
          <w:rFonts w:hint="eastAsia"/>
          <w:color w:val="000000" w:themeColor="text1"/>
          <w14:textFill>
            <w14:solidFill>
              <w14:schemeClr w14:val="tx1"/>
            </w14:solidFill>
          </w14:textFill>
        </w:rPr>
        <w:t>视力不良率</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视力不良在校生数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中等职业学校在校生总</w:t>
      </w:r>
      <w:r>
        <w:rPr>
          <w:color w:val="000000" w:themeColor="text1"/>
          <w14:textFill>
            <w14:solidFill>
              <w14:schemeClr w14:val="tx1"/>
            </w14:solidFill>
          </w14:textFill>
        </w:rPr>
        <w:t>数*100%</w:t>
      </w:r>
    </w:p>
    <w:bookmarkEnd w:id="68"/>
    <w:p>
      <w:pPr>
        <w:pStyle w:val="3"/>
        <w:rPr>
          <w:rStyle w:val="37"/>
          <w:b/>
          <w:bCs/>
          <w:color w:val="000000" w:themeColor="text1"/>
          <w14:textFill>
            <w14:solidFill>
              <w14:schemeClr w14:val="tx1"/>
            </w14:solidFill>
          </w14:textFill>
        </w:rPr>
      </w:pPr>
      <w:bookmarkStart w:id="74" w:name="_Toc54862031"/>
      <w:bookmarkStart w:id="75" w:name="_Toc59961135"/>
      <w:r>
        <w:rPr>
          <w:rStyle w:val="37"/>
          <w:b/>
          <w:bCs/>
          <w:color w:val="000000" w:themeColor="text1"/>
          <w14:textFill>
            <w14:solidFill>
              <w14:schemeClr w14:val="tx1"/>
            </w14:solidFill>
          </w14:textFill>
        </w:rPr>
        <w:t xml:space="preserve">33. </w:t>
      </w:r>
      <w:r>
        <w:rPr>
          <w:rStyle w:val="37"/>
          <w:rFonts w:hint="eastAsia"/>
          <w:b/>
          <w:bCs/>
          <w:color w:val="000000" w:themeColor="text1"/>
          <w14:textFill>
            <w14:solidFill>
              <w14:schemeClr w14:val="tx1"/>
            </w14:solidFill>
          </w14:textFill>
        </w:rPr>
        <w:t>年生均校外实训基地实习时间（天/生）</w:t>
      </w:r>
      <w:bookmarkEnd w:id="74"/>
      <w:bookmarkEnd w:id="75"/>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年生均校外实训基地实习时间，是指上学年在校生参加校外实训（实习、实践）基地（指校企签订合作协议的基地）的实习时间，按全日制学历教育在校生人数折算的平均水平。</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反映职业学校办学条件及学生获得的校外实习实训机会。</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年生均校外实训基地实习时间=上学年在校生参加校外实训（实习、实践）基地实习总时长/全日制学历教育在校生数</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教育事业统计数据，相关评估数据</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指标值越高，学校为学生提供的校外实训时间越长，越有利于学生在实践中掌握技能，指标值越低，学校为学生提供的校外实训时间越少，应增加校外实训基地数或合理安排实训时间。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该指标只反映学校办学条件，不能直接体现教育教学质量。此外，学生也可能在校内实训基地接受实训（实习、实践）。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（1）中等职业学校年生均校外实训基地实习时间（天/生）</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=中等职业学校上学年在校学生参加校外实训（实习、实践）基地实习总时长/中等职业学校在校生数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（2）高职（专科）院校年生均校外实训基地实习时间（天/生）</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=高职（专科）院校上学年在校学生参加校外实训（实习、实践）基地实习总时长/高职（专科）院校在校生数</w:t>
      </w:r>
    </w:p>
    <w:p>
      <w:pPr>
        <w:pStyle w:val="3"/>
        <w:rPr>
          <w:rStyle w:val="37"/>
          <w:b/>
          <w:bCs/>
          <w:color w:val="000000" w:themeColor="text1"/>
          <w14:textFill>
            <w14:solidFill>
              <w14:schemeClr w14:val="tx1"/>
            </w14:solidFill>
          </w14:textFill>
        </w:rPr>
      </w:pPr>
      <w:bookmarkStart w:id="76" w:name="_Toc59961136"/>
      <w:bookmarkStart w:id="77" w:name="_Toc54862038"/>
      <w:r>
        <w:rPr>
          <w:rStyle w:val="37"/>
          <w:b/>
          <w:bCs/>
          <w:color w:val="000000" w:themeColor="text1"/>
          <w14:textFill>
            <w14:solidFill>
              <w14:schemeClr w14:val="tx1"/>
            </w14:solidFill>
          </w14:textFill>
        </w:rPr>
        <w:t xml:space="preserve">34. </w:t>
      </w:r>
      <w:r>
        <w:rPr>
          <w:rStyle w:val="37"/>
          <w:rFonts w:hint="eastAsia"/>
          <w:b/>
          <w:bCs/>
          <w:color w:val="000000" w:themeColor="text1"/>
          <w14:textFill>
            <w14:solidFill>
              <w14:schemeClr w14:val="tx1"/>
            </w14:solidFill>
          </w14:textFill>
        </w:rPr>
        <w:t>毕业生职业资格或职业技能等级证书获取率（%）</w:t>
      </w:r>
      <w:bookmarkEnd w:id="76"/>
      <w:bookmarkEnd w:id="77"/>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毕业生职业资格或职业技能等级证书获取率，是指完成本级教育期间获取所学专业国家资格认定体系内职业资格或职业技能等级证书的毕业生数占毕业生总数的百分比。证书统计按照“统计国家统考类或人社部门统考类证书，以及在国务院职业教育工作部际联席会议领导下，人社、教育两部门遴选的职业技能等级证书”的口径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反映职业院校学生在获得学历证书的同时对技能的掌握程度。</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毕业生职业资格或职业技能等级证书获取率=毕业生中获得职业资格或职业技能等级证书的人数/毕业生总数*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国家级、省级、地级、县级、校级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指标值越高，获得职业资格或职业技能等级证书的毕业生越多，相对而言，人才培养质量越高；指标值越低，获得职业资格或职业技能等级证书的毕业生越少，需要不断深化人才培养模式改革，提高人才培养质量。</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职教毕业生的职业技能水平和就业能力并不仅仅取决于是否拥有证书。目前，多项职业资格许可已分批取消，推出的首批和第二批“1+X”证书制度试点，专业覆盖面较窄。</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（1）中等职业学校毕业生职业资格或职业技能等级证书获取率（%）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=中等职业学校毕业生中获得职业资格或职业技能等级证书的人数/中等职业学校毕业生总数*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（2）高职（专科）院校毕业生职业资格或职业技能等级证书获取率（%）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=高职（专科）院校毕业生中获得职业资格或职业技能等级证书的人数/高职（专科）院校毕业生总数*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3"/>
        <w:rPr>
          <w:bCs w:val="0"/>
          <w:color w:val="000000" w:themeColor="text1"/>
          <w14:textFill>
            <w14:solidFill>
              <w14:schemeClr w14:val="tx1"/>
            </w14:solidFill>
          </w14:textFill>
        </w:rPr>
      </w:pPr>
      <w:bookmarkStart w:id="78" w:name="_Toc59961137"/>
      <w:r>
        <w:rPr>
          <w:bCs w:val="0"/>
          <w:color w:val="000000" w:themeColor="text1"/>
          <w14:textFill>
            <w14:solidFill>
              <w14:schemeClr w14:val="tx1"/>
            </w14:solidFill>
          </w14:textFill>
        </w:rPr>
        <w:t>35</w:t>
      </w:r>
      <w:r>
        <w:rPr>
          <w:rFonts w:hint="eastAsia"/>
          <w:bCs w:val="0"/>
          <w:color w:val="000000" w:themeColor="text1"/>
          <w14:textFill>
            <w14:solidFill>
              <w14:schemeClr w14:val="tx1"/>
            </w14:solidFill>
          </w14:textFill>
        </w:rPr>
        <w:t>. 毕业生就业率（%）</w:t>
      </w:r>
      <w:bookmarkEnd w:id="7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毕业生就业率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是指某一级教育已就业毕业生人数占该级教育毕业生总数的百分比。</w:t>
      </w:r>
      <w:r>
        <w:rPr>
          <w:rFonts w:hint="eastAsia"/>
          <w:color w:val="000000" w:themeColor="text1"/>
          <w14:textFill>
            <w14:solidFill>
              <w14:schemeClr w14:val="tx1"/>
            </w14:solidFill>
          </w14:textFill>
        </w:rPr>
        <w:t>毕业生就业形式及就业率统计方法参照《教育部办公厅关于严格核查 2020届高校毕业生就业数据的通知》（教学厅函〔2020〕19 号）中的相关规定。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该指标可监测学生就业情况，可用作教育质量类指标。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毕业生就业率=某一级教育已就业毕业生数/该级教育毕业生总数*100%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已就业毕业生数</w:t>
      </w:r>
      <w:r>
        <w:rPr>
          <w:rFonts w:hint="eastAsia"/>
          <w:color w:val="000000" w:themeColor="text1"/>
          <w14:textFill>
            <w14:solidFill>
              <w14:schemeClr w14:val="tx1"/>
            </w14:solidFill>
          </w14:textFill>
        </w:rPr>
        <w:t>=协议合同就业毕业生数+自主创业毕业生数+灵活就业毕业生数+升学毕业生数；</w:t>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协议合同就业等的类型和相关规定参照《教育部办公厅关于严格核查202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届高校毕业生就业数据的通知》（教学厅函〔2020〕19号）文件规定。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ascii="宋体" w:hAnsi="宋体"/>
          <w:bCs/>
          <w:color w:val="000000" w:themeColor="text1"/>
          <w14:textFill>
            <w14:solidFill>
              <w14:schemeClr w14:val="tx1"/>
            </w14:solidFill>
          </w14:textFill>
        </w:rPr>
        <w:t>毕业生就业统计、</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层次；分就业形式；分办别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毕业</w:t>
      </w:r>
      <w:r>
        <w:rPr>
          <w:rFonts w:hint="eastAsia"/>
          <w:color w:val="000000" w:themeColor="text1"/>
          <w14:textFill>
            <w14:solidFill>
              <w14:schemeClr w14:val="tx1"/>
            </w14:solidFill>
          </w14:textFill>
        </w:rPr>
        <w:t>生</w:t>
      </w:r>
      <w:r>
        <w:rPr>
          <w:color w:val="000000" w:themeColor="text1"/>
          <w14:textFill>
            <w14:solidFill>
              <w14:schemeClr w14:val="tx1"/>
            </w14:solidFill>
          </w14:textFill>
        </w:rPr>
        <w:t>就业率高说明学校教育与社会实际需求的</w:t>
      </w:r>
      <w:r>
        <w:rPr>
          <w:rFonts w:hint="eastAsia"/>
          <w:color w:val="000000" w:themeColor="text1"/>
          <w14:textFill>
            <w14:solidFill>
              <w14:schemeClr w14:val="tx1"/>
            </w14:solidFill>
          </w14:textFill>
        </w:rPr>
        <w:t>契合</w:t>
      </w:r>
      <w:r>
        <w:rPr>
          <w:color w:val="000000" w:themeColor="text1"/>
          <w14:textFill>
            <w14:solidFill>
              <w14:schemeClr w14:val="tx1"/>
            </w14:solidFill>
          </w14:textFill>
        </w:rPr>
        <w:t>度高，专业设置和教育质量与社会要求匹配度高。</w:t>
      </w:r>
      <w:r>
        <w:rPr>
          <w:rFonts w:hint="eastAsia"/>
          <w:color w:val="000000" w:themeColor="text1"/>
          <w14:textFill>
            <w14:solidFill>
              <w14:schemeClr w14:val="tx1"/>
            </w14:solidFill>
          </w14:textFill>
        </w:rPr>
        <w:t>各地也可根据实际需要和数据情况计算就业率、对口就业率等。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就业率一定程度上反映学校教育与社会实际需求的匹配情况，但不能完全反映毕业生人岗匹配的实际情况，以及是否满足社会对</w:t>
      </w:r>
      <w:r>
        <w:rPr>
          <w:rFonts w:hint="eastAsia"/>
          <w:color w:val="000000" w:themeColor="text1"/>
          <w14:textFill>
            <w14:solidFill>
              <w14:schemeClr w14:val="tx1"/>
            </w14:solidFill>
          </w14:textFill>
        </w:rPr>
        <w:t>各</w:t>
      </w:r>
      <w:r>
        <w:rPr>
          <w:color w:val="000000" w:themeColor="text1"/>
          <w14:textFill>
            <w14:solidFill>
              <w14:schemeClr w14:val="tx1"/>
            </w14:solidFill>
          </w14:textFill>
        </w:rPr>
        <w:t>岗位人才的需求。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（1）中等职业学校毕业生就业率（%）</w:t>
      </w:r>
    </w:p>
    <w:p>
      <w:pPr>
        <w:rPr>
          <w:color w:val="000000" w:themeColor="text1"/>
          <w14:textFill>
            <w14:solidFill>
              <w14:schemeClr w14:val="tx1"/>
            </w14:solidFill>
          </w14:textFill>
        </w:rPr>
      </w:pPr>
      <w:r>
        <w:rPr>
          <w:color w:val="000000" w:themeColor="text1"/>
          <w14:textFill>
            <w14:solidFill>
              <w14:schemeClr w14:val="tx1"/>
            </w14:solidFill>
          </w14:textFill>
        </w:rPr>
        <w:t>=毕业时已就业的中等职业学校毕业生数/中等职业学校毕业生总数*100%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）普通专科毕业生就业率（%）</w:t>
      </w:r>
    </w:p>
    <w:p>
      <w:pPr>
        <w:rPr>
          <w:color w:val="000000" w:themeColor="text1"/>
          <w14:textFill>
            <w14:solidFill>
              <w14:schemeClr w14:val="tx1"/>
            </w14:solidFill>
          </w14:textFill>
        </w:rPr>
      </w:pPr>
      <w:r>
        <w:rPr>
          <w:color w:val="000000" w:themeColor="text1"/>
          <w14:textFill>
            <w14:solidFill>
              <w14:schemeClr w14:val="tx1"/>
            </w14:solidFill>
          </w14:textFill>
        </w:rPr>
        <w:t>=毕业时已就业的普通专科毕业生数/普通专科毕业生总数*100%</w:t>
      </w:r>
    </w:p>
    <w:p>
      <w:pPr>
        <w:pStyle w:val="6"/>
        <w:ind w:firstLine="482"/>
        <w:rPr>
          <w:rStyle w:val="57"/>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）普通本科毕业生就业率（%）</w:t>
      </w:r>
    </w:p>
    <w:p>
      <w:pPr>
        <w:rPr>
          <w:color w:val="000000" w:themeColor="text1"/>
          <w14:textFill>
            <w14:solidFill>
              <w14:schemeClr w14:val="tx1"/>
            </w14:solidFill>
          </w14:textFill>
        </w:rPr>
      </w:pPr>
      <w:r>
        <w:rPr>
          <w:color w:val="000000" w:themeColor="text1"/>
          <w14:textFill>
            <w14:solidFill>
              <w14:schemeClr w14:val="tx1"/>
            </w14:solidFill>
          </w14:textFill>
        </w:rPr>
        <w:t>=毕业时已就业的普通本科毕业生数/普通本科毕业生总数*100%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）研究生毕业生就业率（%）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毕业时已就业的</w:t>
      </w:r>
      <w:r>
        <w:rPr>
          <w:rFonts w:hint="eastAsia"/>
          <w:color w:val="000000" w:themeColor="text1"/>
          <w14:textFill>
            <w14:solidFill>
              <w14:schemeClr w14:val="tx1"/>
            </w14:solidFill>
          </w14:textFill>
        </w:rPr>
        <w:t>研究生</w:t>
      </w:r>
      <w:r>
        <w:rPr>
          <w:color w:val="000000" w:themeColor="text1"/>
          <w14:textFill>
            <w14:solidFill>
              <w14:schemeClr w14:val="tx1"/>
            </w14:solidFill>
          </w14:textFill>
        </w:rPr>
        <w:t>毕业生数/</w:t>
      </w:r>
      <w:r>
        <w:rPr>
          <w:rFonts w:hint="eastAsia"/>
          <w:color w:val="000000" w:themeColor="text1"/>
          <w14:textFill>
            <w14:solidFill>
              <w14:schemeClr w14:val="tx1"/>
            </w14:solidFill>
          </w14:textFill>
        </w:rPr>
        <w:t>研究生</w:t>
      </w:r>
      <w:r>
        <w:rPr>
          <w:color w:val="000000" w:themeColor="text1"/>
          <w14:textFill>
            <w14:solidFill>
              <w14:schemeClr w14:val="tx1"/>
            </w14:solidFill>
          </w14:textFill>
        </w:rPr>
        <w:t>毕业生总数*100%</w:t>
      </w:r>
    </w:p>
    <w:p>
      <w:pPr>
        <w:pStyle w:val="3"/>
        <w:rPr>
          <w:color w:val="000000" w:themeColor="text1"/>
          <w14:textFill>
            <w14:solidFill>
              <w14:schemeClr w14:val="tx1"/>
            </w14:solidFill>
          </w14:textFill>
        </w:rPr>
      </w:pPr>
      <w:bookmarkStart w:id="79" w:name="_Toc9848758"/>
      <w:bookmarkStart w:id="80" w:name="_Toc59961138"/>
      <w:bookmarkStart w:id="81" w:name="_Toc54862032"/>
      <w:r>
        <w:rPr>
          <w:color w:val="000000" w:themeColor="text1"/>
          <w14:textFill>
            <w14:solidFill>
              <w14:schemeClr w14:val="tx1"/>
            </w14:solidFill>
          </w14:textFill>
        </w:rPr>
        <w:t>36</w:t>
      </w:r>
      <w:r>
        <w:rPr>
          <w:rFonts w:hint="eastAsia"/>
          <w:color w:val="000000" w:themeColor="text1"/>
          <w14:textFill>
            <w14:solidFill>
              <w14:schemeClr w14:val="tx1"/>
            </w14:solidFill>
          </w14:textFill>
        </w:rPr>
        <w:t>. 民办教育在校生所占比例（%）</w:t>
      </w:r>
      <w:bookmarkEnd w:id="79"/>
      <w:bookmarkEnd w:id="8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民办教育在校生</w:t>
      </w:r>
      <w:r>
        <w:rPr>
          <w:rFonts w:hint="eastAsia"/>
          <w:color w:val="000000" w:themeColor="text1"/>
          <w14:textFill>
            <w14:solidFill>
              <w14:schemeClr w14:val="tx1"/>
            </w14:solidFill>
          </w14:textFill>
        </w:rPr>
        <w:t>所占</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是指某一级教育民办学校在校生数占该级教育在校生总数的百分比。民办学校是指社会组织或个人利用非国家财政性经费举办的学校（机构）。</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 xml:space="preserve">该指标可监测和评价全国及各地民办教育的发展规模，反映民办教育事业发展基本情况。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民办教育在校生所占比例=某一级教育民办学校在校生数/该级教育在校生总数*100%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国家级、省级、地级、县级</w:t>
      </w:r>
      <w:r>
        <w:rPr>
          <w:color w:val="000000" w:themeColor="text1"/>
          <w14:textFill>
            <w14:solidFill>
              <w14:schemeClr w14:val="tx1"/>
            </w14:solidFill>
          </w14:textFill>
        </w:rPr>
        <w:t>（高等教育只适用到省一级）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指标值高说明当地民办教育的发展规模大，社会力量参与办学的积极性高。同时要注意，该指标是一个适度指标，</w:t>
      </w:r>
      <w:r>
        <w:rPr>
          <w:rFonts w:hint="eastAsia"/>
          <w:color w:val="000000" w:themeColor="text1"/>
          <w14:textFill>
            <w14:solidFill>
              <w14:schemeClr w14:val="tx1"/>
            </w14:solidFill>
          </w14:textFill>
        </w:rPr>
        <w:t>现阶段我国正不断推进民办教育规范有序发展，科学落实民办学校分类管理，以促进形成民办教育和公</w:t>
      </w:r>
      <w:r>
        <w:rPr>
          <w:color w:val="000000" w:themeColor="text1"/>
          <w14:textFill>
            <w14:solidFill>
              <w14:schemeClr w14:val="tx1"/>
            </w14:solidFill>
          </w14:textFill>
        </w:rPr>
        <w:t>办教育</w:t>
      </w:r>
      <w:r>
        <w:rPr>
          <w:rFonts w:hint="eastAsia"/>
          <w:color w:val="000000" w:themeColor="text1"/>
          <w14:textFill>
            <w14:solidFill>
              <w14:schemeClr w14:val="tx1"/>
            </w14:solidFill>
          </w14:textFill>
        </w:rPr>
        <w:t>协同发展的新格局。</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目前国家积极鼓励行业、企业等社会力量参与公办学校办学，同时加大对民办教育的扶持力度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随着民办教育的发展，该指标不能完全反映社会力量参与办学的</w:t>
      </w:r>
      <w:r>
        <w:rPr>
          <w:rFonts w:hint="eastAsia"/>
          <w:color w:val="000000" w:themeColor="text1"/>
          <w14:textFill>
            <w14:solidFill>
              <w14:schemeClr w14:val="tx1"/>
            </w14:solidFill>
          </w14:textFill>
        </w:rPr>
        <w:t>程度，有些学校可能会拥有公办和民办双重属性。</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（1）民办幼儿园</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园幼儿比例（%）</w:t>
      </w:r>
    </w:p>
    <w:p>
      <w:pPr>
        <w:rPr>
          <w:color w:val="000000" w:themeColor="text1"/>
          <w14:textFill>
            <w14:solidFill>
              <w14:schemeClr w14:val="tx1"/>
            </w14:solidFill>
          </w14:textFill>
        </w:rPr>
      </w:pPr>
      <w:r>
        <w:rPr>
          <w:color w:val="000000" w:themeColor="text1"/>
          <w14:textFill>
            <w14:solidFill>
              <w14:schemeClr w14:val="tx1"/>
            </w14:solidFill>
          </w14:textFill>
        </w:rPr>
        <w:t>=民办幼儿园在园（班）幼儿数/在园（班）幼儿总数*100%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（2）义务教育阶段民办学校在校生所占比例（%）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=义务教育阶段民办学校在校生数/义务教育阶段在校生总数*100%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（3）民办小学在校生所占比例（%）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=民办小学在校生数/小学在校生总数*100%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（4）民办初中在校生所占比例（%）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=民办初中在校生数/初中在校生总数*100%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（5）高中阶段民办学校在校生所占比例（%）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=民办高中阶段学校在校生数/高中阶段在校生总数*100%</w:t>
      </w:r>
    </w:p>
    <w:p>
      <w:pPr>
        <w:rPr>
          <w:color w:val="000000" w:themeColor="text1"/>
          <w14:textFill>
            <w14:solidFill>
              <w14:schemeClr w14:val="tx1"/>
            </w14:solidFill>
          </w14:textFill>
        </w:rPr>
      </w:pPr>
      <w:r>
        <w:rPr>
          <w:color w:val="000000" w:themeColor="text1"/>
          <w14:textFill>
            <w14:solidFill>
              <w14:schemeClr w14:val="tx1"/>
            </w14:solidFill>
          </w14:textFill>
        </w:rPr>
        <w:t>注：</w:t>
      </w:r>
      <w:r>
        <w:rPr>
          <w:rFonts w:hint="eastAsia"/>
          <w:color w:val="000000" w:themeColor="text1"/>
          <w14:textFill>
            <w14:solidFill>
              <w14:schemeClr w14:val="tx1"/>
            </w14:solidFill>
          </w14:textFill>
        </w:rPr>
        <w:t>该指标中高中阶段统计普通高中与中等职业学校，</w:t>
      </w:r>
      <w:r>
        <w:rPr>
          <w:color w:val="000000" w:themeColor="text1"/>
          <w14:textFill>
            <w14:solidFill>
              <w14:schemeClr w14:val="tx1"/>
            </w14:solidFill>
          </w14:textFill>
        </w:rPr>
        <w:t>未含成人高中与技工学校数</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（6）民办普通高中在校生所占比例（%）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=民办普通高中在校生数/普通高中在校生总数*100%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（7）民办中等职业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）民办普通本专科在校生所占比例（%）</w:t>
      </w:r>
    </w:p>
    <w:p>
      <w:pPr>
        <w:rPr>
          <w:color w:val="000000" w:themeColor="text1"/>
          <w14:textFill>
            <w14:solidFill>
              <w14:schemeClr w14:val="tx1"/>
            </w14:solidFill>
          </w14:textFill>
        </w:rPr>
      </w:pPr>
      <w:r>
        <w:rPr>
          <w:color w:val="000000" w:themeColor="text1"/>
          <w14:textFill>
            <w14:solidFill>
              <w14:schemeClr w14:val="tx1"/>
            </w14:solidFill>
          </w14:textFill>
        </w:rPr>
        <w:t>=民办普通本专科在校生数/普通本专科在校生总数*100%</w:t>
      </w:r>
    </w:p>
    <w:p>
      <w:pPr>
        <w:pStyle w:val="3"/>
        <w:rPr>
          <w:color w:val="000000" w:themeColor="text1"/>
          <w14:textFill>
            <w14:solidFill>
              <w14:schemeClr w14:val="tx1"/>
            </w14:solidFill>
          </w14:textFill>
        </w:rPr>
      </w:pPr>
      <w:bookmarkStart w:id="82" w:name="_Toc59961139"/>
      <w:r>
        <w:rPr>
          <w:color w:val="000000" w:themeColor="text1"/>
          <w14:textFill>
            <w14:solidFill>
              <w14:schemeClr w14:val="tx1"/>
            </w14:solidFill>
          </w14:textFill>
        </w:rPr>
        <w:t>37</w:t>
      </w:r>
      <w:r>
        <w:rPr>
          <w:rFonts w:hint="eastAsia"/>
          <w:color w:val="000000" w:themeColor="text1"/>
          <w14:textFill>
            <w14:solidFill>
              <w14:schemeClr w14:val="tx1"/>
            </w14:solidFill>
          </w14:textFill>
        </w:rPr>
        <w:t>. 民办普通本专科招生所占比例（%）</w:t>
      </w:r>
      <w:bookmarkEnd w:id="82"/>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民办普通本专科招生</w:t>
      </w:r>
      <w:r>
        <w:rPr>
          <w:rFonts w:hint="eastAsia"/>
          <w:color w:val="000000" w:themeColor="text1"/>
          <w14:textFill>
            <w14:solidFill>
              <w14:schemeClr w14:val="tx1"/>
            </w14:solidFill>
          </w14:textFill>
        </w:rPr>
        <w:t>所占</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是指民办高校普通本专科招生数占普通本专科招生总数的百分比。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该指标可以反映全国及各地民办</w:t>
      </w:r>
      <w:r>
        <w:rPr>
          <w:rFonts w:hint="eastAsia"/>
          <w:color w:val="000000" w:themeColor="text1"/>
          <w14:textFill>
            <w14:solidFill>
              <w14:schemeClr w14:val="tx1"/>
            </w14:solidFill>
          </w14:textFill>
        </w:rPr>
        <w:t>普通高等</w:t>
      </w:r>
      <w:r>
        <w:rPr>
          <w:color w:val="000000" w:themeColor="text1"/>
          <w14:textFill>
            <w14:solidFill>
              <w14:schemeClr w14:val="tx1"/>
            </w14:solidFill>
          </w14:textFill>
        </w:rPr>
        <w:t>教育的发展规模。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民办普通本专科招生</w:t>
      </w:r>
      <w:r>
        <w:rPr>
          <w:rFonts w:hint="eastAsia"/>
          <w:color w:val="000000" w:themeColor="text1"/>
          <w14:textFill>
            <w14:solidFill>
              <w14:schemeClr w14:val="tx1"/>
            </w14:solidFill>
          </w14:textFill>
        </w:rPr>
        <w:t>所占</w:t>
      </w:r>
      <w:r>
        <w:rPr>
          <w:color w:val="000000" w:themeColor="text1"/>
          <w14:textFill>
            <w14:solidFill>
              <w14:schemeClr w14:val="tx1"/>
            </w14:solidFill>
          </w14:textFill>
        </w:rPr>
        <w:t>比例=民办高校普通本专科招生数/普通本专科招生总数*100%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分层次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民办普通本专科招生所占比例的高低反映民办高等教育的发展规模。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该指标反映民办教育在普通本专科教育</w:t>
      </w:r>
      <w:r>
        <w:rPr>
          <w:rFonts w:hint="eastAsia"/>
          <w:color w:val="000000" w:themeColor="text1"/>
          <w14:textFill>
            <w14:solidFill>
              <w14:schemeClr w14:val="tx1"/>
            </w14:solidFill>
          </w14:textFill>
        </w:rPr>
        <w:t>招生中的相对</w:t>
      </w:r>
      <w:r>
        <w:rPr>
          <w:color w:val="000000" w:themeColor="text1"/>
          <w14:textFill>
            <w14:solidFill>
              <w14:schemeClr w14:val="tx1"/>
            </w14:solidFill>
          </w14:textFill>
        </w:rPr>
        <w:t>规模，</w:t>
      </w:r>
      <w:r>
        <w:rPr>
          <w:rFonts w:hint="eastAsia"/>
          <w:color w:val="000000" w:themeColor="text1"/>
          <w14:textFill>
            <w14:solidFill>
              <w14:schemeClr w14:val="tx1"/>
            </w14:solidFill>
          </w14:textFill>
        </w:rPr>
        <w:t>但</w:t>
      </w:r>
      <w:r>
        <w:rPr>
          <w:color w:val="000000" w:themeColor="text1"/>
          <w14:textFill>
            <w14:solidFill>
              <w14:schemeClr w14:val="tx1"/>
            </w14:solidFill>
          </w14:textFill>
        </w:rPr>
        <w:t>不能评价此规模是否为促进教育发展的最优规模</w:t>
      </w:r>
      <w:r>
        <w:rPr>
          <w:rFonts w:hint="eastAsia"/>
          <w:color w:val="000000" w:themeColor="text1"/>
          <w14:textFill>
            <w14:solidFill>
              <w14:schemeClr w14:val="tx1"/>
            </w14:solidFill>
          </w14:textFill>
        </w:rPr>
        <w:t>。此外，规模比例也无法反映民办高等教育质量</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（1）民办普通本科招生所占比例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=民办高校普通本科招生数/普通本科招生总数*100%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（2）民办普通专科招生所占比例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=民办高校普通专科招生数/普通专科招生总数*100%</w:t>
      </w:r>
    </w:p>
    <w:p>
      <w:pPr>
        <w:pStyle w:val="3"/>
        <w:rPr>
          <w:color w:val="000000" w:themeColor="text1"/>
          <w14:textFill>
            <w14:solidFill>
              <w14:schemeClr w14:val="tx1"/>
            </w14:solidFill>
          </w14:textFill>
        </w:rPr>
      </w:pPr>
      <w:bookmarkStart w:id="83" w:name="_Toc59961140"/>
      <w:r>
        <w:rPr>
          <w:color w:val="000000" w:themeColor="text1"/>
          <w14:textFill>
            <w14:solidFill>
              <w14:schemeClr w14:val="tx1"/>
            </w14:solidFill>
          </w14:textFill>
        </w:rPr>
        <w:t>38</w:t>
      </w:r>
      <w:r>
        <w:rPr>
          <w:rFonts w:hint="eastAsia"/>
          <w:color w:val="000000" w:themeColor="text1"/>
          <w14:textFill>
            <w14:solidFill>
              <w14:schemeClr w14:val="tx1"/>
            </w14:solidFill>
          </w14:textFill>
        </w:rPr>
        <w:t xml:space="preserve">. </w:t>
      </w:r>
      <w:bookmarkStart w:id="84" w:name="OLE_LINK7"/>
      <w:bookmarkStart w:id="85" w:name="OLE_LINK8"/>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与外方缔结“友好学校”</w:t>
      </w:r>
      <w:bookmarkEnd w:id="84"/>
      <w:bookmarkEnd w:id="85"/>
      <w:r>
        <w:rPr>
          <w:rFonts w:hint="eastAsia"/>
          <w:color w:val="000000" w:themeColor="text1"/>
          <w14:textFill>
            <w14:solidFill>
              <w14:schemeClr w14:val="tx1"/>
            </w14:solidFill>
          </w14:textFill>
        </w:rPr>
        <w:t>的学校比例（%）</w:t>
      </w:r>
      <w:bookmarkEnd w:id="81"/>
      <w:bookmarkEnd w:id="83"/>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与外方缔结“友好学校”的学校比例，是指中（小）学与外方缔结“友好学校”的学校数占中（小）学校总数的百分比。“友好学校”是指内地中（小）学校与国（境）外学校或机构，以签订交流协议、备忘录以及长期开展的实质性合作交流项目等形式建立的友好合作关系，包括但不限于国外友好学校、港澳台地区姊妹学校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基础教育国际化程度、教育开放水平和国际交流程度</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bookmarkStart w:id="86" w:name="OLE_LINK2"/>
      <w:bookmarkStart w:id="87" w:name="OLE_LINK3"/>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与外方缔结“友好学校”的学校</w:t>
      </w:r>
      <w:bookmarkEnd w:id="86"/>
      <w:bookmarkEnd w:id="87"/>
      <w:r>
        <w:rPr>
          <w:rFonts w:hint="eastAsia"/>
          <w:color w:val="000000" w:themeColor="text1"/>
          <w14:textFill>
            <w14:solidFill>
              <w14:schemeClr w14:val="tx1"/>
            </w14:solidFill>
          </w14:textFill>
        </w:rPr>
        <w:t>比例</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与外方缔结“友好学校”的学校数</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学校总数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r>
        <w:rPr>
          <w:color w:val="000000" w:themeColor="text1"/>
          <w14:textFill>
            <w14:solidFill>
              <w14:schemeClr w14:val="tx1"/>
            </w14:solidFill>
          </w14:textFill>
        </w:rPr>
        <w:t xml:space="preserve"> </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与外方缔结“友好学校”的学校比例高</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该级教育</w:t>
      </w:r>
      <w:r>
        <w:rPr>
          <w:color w:val="000000" w:themeColor="text1"/>
          <w14:textFill>
            <w14:solidFill>
              <w14:schemeClr w14:val="tx1"/>
            </w14:solidFill>
          </w14:textFill>
        </w:rPr>
        <w:t>国际交流程度高</w:t>
      </w:r>
      <w:r>
        <w:rPr>
          <w:rFonts w:hint="eastAsia"/>
          <w:color w:val="000000" w:themeColor="text1"/>
          <w14:textFill>
            <w14:solidFill>
              <w14:schemeClr w14:val="tx1"/>
            </w14:solidFill>
          </w14:textFill>
        </w:rPr>
        <w:t>，有助于提高教育的</w:t>
      </w:r>
      <w:r>
        <w:rPr>
          <w:color w:val="000000" w:themeColor="text1"/>
          <w14:textFill>
            <w14:solidFill>
              <w14:schemeClr w14:val="tx1"/>
            </w14:solidFill>
          </w14:textFill>
        </w:rPr>
        <w:t>国际化程度和开放水平。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“友好学校”</w:t>
      </w:r>
      <w:r>
        <w:rPr>
          <w:color w:val="000000" w:themeColor="text1"/>
          <w14:textFill>
            <w14:solidFill>
              <w14:schemeClr w14:val="tx1"/>
            </w14:solidFill>
          </w14:textFill>
        </w:rPr>
        <w:t>是影响</w:t>
      </w:r>
      <w:r>
        <w:rPr>
          <w:rFonts w:hint="eastAsia"/>
          <w:color w:val="000000" w:themeColor="text1"/>
          <w14:textFill>
            <w14:solidFill>
              <w14:schemeClr w14:val="tx1"/>
            </w14:solidFill>
          </w14:textFill>
        </w:rPr>
        <w:t>和体现教育</w:t>
      </w:r>
      <w:r>
        <w:rPr>
          <w:color w:val="000000" w:themeColor="text1"/>
          <w14:textFill>
            <w14:solidFill>
              <w14:schemeClr w14:val="tx1"/>
            </w14:solidFill>
          </w14:textFill>
        </w:rPr>
        <w:t>国际化的一个方面，该指标只能作为反映</w:t>
      </w:r>
      <w:r>
        <w:rPr>
          <w:rFonts w:hint="eastAsia"/>
          <w:color w:val="000000" w:themeColor="text1"/>
          <w14:textFill>
            <w14:solidFill>
              <w14:schemeClr w14:val="tx1"/>
            </w14:solidFill>
          </w14:textFill>
        </w:rPr>
        <w:t>学校教育国际化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开放水平的一个参照指标。</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=普通高中与外方缔结</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友好学校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的学校数/普通高中学校总数*100%</w:t>
      </w:r>
    </w:p>
    <w:p>
      <w:pPr>
        <w:pStyle w:val="3"/>
        <w:rPr>
          <w:color w:val="000000" w:themeColor="text1"/>
          <w14:textFill>
            <w14:solidFill>
              <w14:schemeClr w14:val="tx1"/>
            </w14:solidFill>
          </w14:textFill>
        </w:rPr>
      </w:pPr>
      <w:bookmarkStart w:id="88" w:name="_Toc21418943"/>
      <w:bookmarkStart w:id="89" w:name="_Toc59961141"/>
      <w:bookmarkStart w:id="90" w:name="_Toc54862033"/>
      <w:r>
        <w:rPr>
          <w:color w:val="000000" w:themeColor="text1"/>
          <w14:textFill>
            <w14:solidFill>
              <w14:schemeClr w14:val="tx1"/>
            </w14:solidFill>
          </w14:textFill>
        </w:rPr>
        <w:t xml:space="preserve">39. </w:t>
      </w:r>
      <w:r>
        <w:rPr>
          <w:rFonts w:hint="eastAsia"/>
          <w:color w:val="000000" w:themeColor="text1"/>
          <w14:textFill>
            <w14:solidFill>
              <w14:schemeClr w14:val="tx1"/>
            </w14:solidFill>
          </w14:textFill>
        </w:rPr>
        <w:t>普通高校开展短期出国校际交流的在校生所占比例（%）</w:t>
      </w:r>
      <w:bookmarkEnd w:id="88"/>
      <w:bookmarkEnd w:id="89"/>
      <w:bookmarkEnd w:id="9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开展短期出国校际交流的在校生所占比例，是指普通高校开展短期出国校际交流的在校生数占普通高校在校生总数的比例。“短期出国校际交流”是指普通高校派出在校生到与之有校际交流合作协议的国外大学开展为期三个月或以下的交流学习。</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高等教育国际化程度、教育开放水平和国际交流程度</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普通高校开展短期校际交流的在校生所占比例=普通高校开展短期校际交流的学生数/普通高校在校生总数*100%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注：本指标中，普通高校在校生总数=</w:t>
      </w:r>
      <w:r>
        <w:rPr>
          <w:color w:val="000000" w:themeColor="text1"/>
          <w14:textFill>
            <w14:solidFill>
              <w14:schemeClr w14:val="tx1"/>
            </w14:solidFill>
          </w14:textFill>
        </w:rPr>
        <w:t>普通本科生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普通专科生/</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研究生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开展短期校际交流的在校生所占比例高，说明高校国际化程度相对较高、办学实力相对较强。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该指标只能从一个侧面反映高校国际化水平和能力，还要结合其他指标进行综合评价。</w:t>
      </w:r>
    </w:p>
    <w:p>
      <w:pPr>
        <w:pStyle w:val="3"/>
        <w:rPr>
          <w:color w:val="000000" w:themeColor="text1"/>
          <w14:textFill>
            <w14:solidFill>
              <w14:schemeClr w14:val="tx1"/>
            </w14:solidFill>
          </w14:textFill>
        </w:rPr>
      </w:pPr>
      <w:bookmarkStart w:id="91" w:name="_Toc59961142"/>
      <w:r>
        <w:rPr>
          <w:color w:val="000000" w:themeColor="text1"/>
          <w14:textFill>
            <w14:solidFill>
              <w14:schemeClr w14:val="tx1"/>
            </w14:solidFill>
          </w14:textFill>
        </w:rPr>
        <w:t xml:space="preserve">40. </w:t>
      </w:r>
      <w:bookmarkEnd w:id="69"/>
      <w:r>
        <w:rPr>
          <w:rFonts w:hint="eastAsia"/>
          <w:color w:val="000000" w:themeColor="text1"/>
          <w14:textFill>
            <w14:solidFill>
              <w14:schemeClr w14:val="tx1"/>
            </w14:solidFill>
          </w14:textFill>
        </w:rPr>
        <w:t>普通高校学历教育留学生与在校生总数比</w:t>
      </w:r>
      <w:bookmarkEnd w:id="9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bookmarkStart w:id="92" w:name="_Hlk21033520"/>
      <w:r>
        <w:rPr>
          <w:rFonts w:hint="eastAsia"/>
          <w:color w:val="000000" w:themeColor="text1"/>
          <w14:textFill>
            <w14:solidFill>
              <w14:schemeClr w14:val="tx1"/>
            </w14:solidFill>
          </w14:textFill>
        </w:rPr>
        <w:t>普通高校学历教育留学生与在校生总数比</w:t>
      </w:r>
      <w:bookmarkEnd w:id="92"/>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是指普通高校中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普通高校在校生</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之比</w:t>
      </w:r>
      <w:r>
        <w:rPr>
          <w:color w:val="000000" w:themeColor="text1"/>
          <w14:textFill>
            <w14:solidFill>
              <w14:schemeClr w14:val="tx1"/>
            </w14:solidFill>
          </w14:textFill>
        </w:rPr>
        <w:t>。</w:t>
      </w:r>
      <w:bookmarkStart w:id="93" w:name="_Hlk21034024"/>
      <w:r>
        <w:rPr>
          <w:color w:val="000000" w:themeColor="text1"/>
          <w14:textFill>
            <w14:solidFill>
              <w14:schemeClr w14:val="tx1"/>
            </w14:solidFill>
          </w14:textFill>
        </w:rPr>
        <w:t>外国留学生是指持外国护照在我国高等学校注册并接受学历教育或非学历教育的外国公民</w:t>
      </w:r>
      <w:r>
        <w:rPr>
          <w:rFonts w:hint="eastAsia"/>
          <w:color w:val="000000" w:themeColor="text1"/>
          <w14:textFill>
            <w14:solidFill>
              <w14:schemeClr w14:val="tx1"/>
            </w14:solidFill>
          </w14:textFill>
        </w:rPr>
        <w:t>，</w:t>
      </w:r>
      <w:bookmarkEnd w:id="93"/>
      <w:r>
        <w:rPr>
          <w:rFonts w:hint="eastAsia"/>
          <w:color w:val="000000" w:themeColor="text1"/>
          <w14:textFill>
            <w14:solidFill>
              <w14:schemeClr w14:val="tx1"/>
            </w14:solidFill>
          </w14:textFill>
        </w:rPr>
        <w:t>本指标中只统计接受学历教育的外国留学生</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该指标可反映高等教育对外开放水平，以及高等学校国际</w:t>
      </w:r>
      <w:r>
        <w:rPr>
          <w:rFonts w:hint="eastAsia"/>
          <w:color w:val="000000" w:themeColor="text1"/>
          <w14:textFill>
            <w14:solidFill>
              <w14:schemeClr w14:val="tx1"/>
            </w14:solidFill>
          </w14:textFill>
        </w:rPr>
        <w:t>交流</w:t>
      </w:r>
      <w:r>
        <w:rPr>
          <w:color w:val="000000" w:themeColor="text1"/>
          <w14:textFill>
            <w14:solidFill>
              <w14:schemeClr w14:val="tx1"/>
            </w14:solidFill>
          </w14:textFill>
        </w:rPr>
        <w:t>与合作的程度。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普通高校学历教育留学生与在校生总数比</w:t>
      </w:r>
      <w:r>
        <w:rPr>
          <w:color w:val="000000" w:themeColor="text1"/>
          <w14:textFill>
            <w14:solidFill>
              <w14:schemeClr w14:val="tx1"/>
            </w14:solidFill>
          </w14:textFill>
        </w:rPr>
        <w:t>=普通高校中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普通高校在校生总数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注：本指标普通高校在校生总数只统计</w:t>
      </w:r>
      <w:r>
        <w:rPr>
          <w:color w:val="000000" w:themeColor="text1"/>
          <w14:textFill>
            <w14:solidFill>
              <w14:schemeClr w14:val="tx1"/>
            </w14:solidFill>
          </w14:textFill>
        </w:rPr>
        <w:t>普通本专科生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研究生</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普通高校中外国留学生</w:t>
      </w:r>
      <w:r>
        <w:rPr>
          <w:rFonts w:hint="eastAsia"/>
          <w:color w:val="000000" w:themeColor="text1"/>
          <w14:textFill>
            <w14:solidFill>
              <w14:schemeClr w14:val="tx1"/>
            </w14:solidFill>
          </w14:textFill>
        </w:rPr>
        <w:t>增加</w:t>
      </w:r>
      <w:r>
        <w:rPr>
          <w:color w:val="000000" w:themeColor="text1"/>
          <w14:textFill>
            <w14:solidFill>
              <w14:schemeClr w14:val="tx1"/>
            </w14:solidFill>
          </w14:textFill>
        </w:rPr>
        <w:t>说明我国高等教育的国际化水平及对外国留学生的吸引力提升。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我国人口基数大，高等教育在校生规模大，通常该指标值会比较低，变化趋势也会</w:t>
      </w:r>
      <w:r>
        <w:rPr>
          <w:rFonts w:hint="eastAsia"/>
          <w:color w:val="000000" w:themeColor="text1"/>
          <w14:textFill>
            <w14:solidFill>
              <w14:schemeClr w14:val="tx1"/>
            </w14:solidFill>
          </w14:textFill>
        </w:rPr>
        <w:t>不明显</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普通本科院校学历教育留学生与在校生总数比</w:t>
      </w:r>
    </w:p>
    <w:p>
      <w:pPr>
        <w:rPr>
          <w:color w:val="000000" w:themeColor="text1"/>
          <w14:textFill>
            <w14:solidFill>
              <w14:schemeClr w14:val="tx1"/>
            </w14:solidFill>
          </w14:textFill>
        </w:rPr>
      </w:pP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高职（专科）院校学历教育留学生与在校生总数比</w:t>
      </w:r>
    </w:p>
    <w:p>
      <w:pPr>
        <w:rPr>
          <w:b/>
          <w:bCs/>
          <w:color w:val="000000" w:themeColor="text1"/>
          <w:lang w:val="zh-CN"/>
          <w14:textFill>
            <w14:solidFill>
              <w14:schemeClr w14:val="tx1"/>
            </w14:solidFill>
          </w14:textFill>
        </w:rPr>
      </w:pPr>
      <w:r>
        <w:rPr>
          <w:color w:val="000000" w:themeColor="text1"/>
          <w14:textFill>
            <w14:solidFill>
              <w14:schemeClr w14:val="tx1"/>
            </w14:solidFill>
          </w14:textFill>
        </w:rPr>
        <w:t>=高职（专科）院校中</w:t>
      </w:r>
      <w:r>
        <w:rPr>
          <w:rFonts w:hint="eastAsia"/>
          <w:color w:val="000000" w:themeColor="text1"/>
          <w14:textFill>
            <w14:solidFill>
              <w14:schemeClr w14:val="tx1"/>
            </w14:solidFill>
          </w14:textFill>
        </w:rPr>
        <w:t>接受学历教育的</w:t>
      </w:r>
      <w:r>
        <w:rPr>
          <w:color w:val="000000" w:themeColor="text1"/>
          <w14:textFill>
            <w14:solidFill>
              <w14:schemeClr w14:val="tx1"/>
            </w14:solidFill>
          </w14:textFill>
        </w:rPr>
        <w:t>外国留学生数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高职（专科）院校在校生总数</w:t>
      </w:r>
    </w:p>
    <w:p>
      <w:pPr>
        <w:pStyle w:val="3"/>
        <w:rPr>
          <w:color w:val="000000" w:themeColor="text1"/>
          <w14:textFill>
            <w14:solidFill>
              <w14:schemeClr w14:val="tx1"/>
            </w14:solidFill>
          </w14:textFill>
        </w:rPr>
      </w:pPr>
      <w:bookmarkStart w:id="94" w:name="_Toc59961143"/>
      <w:bookmarkStart w:id="95" w:name="_Toc398192910"/>
      <w:r>
        <w:rPr>
          <w:color w:val="000000" w:themeColor="text1"/>
          <w14:textFill>
            <w14:solidFill>
              <w14:schemeClr w14:val="tx1"/>
            </w14:solidFill>
          </w14:textFill>
        </w:rPr>
        <w:t>41. 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w:t>
      </w:r>
      <w:bookmarkEnd w:id="94"/>
      <w:bookmarkEnd w:id="9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w:t>
      </w:r>
      <w:r>
        <w:rPr>
          <w:rFonts w:hint="eastAsia"/>
          <w:color w:val="000000" w:themeColor="text1"/>
          <w14:textFill>
            <w14:solidFill>
              <w14:schemeClr w14:val="tx1"/>
            </w14:solidFill>
          </w14:textFill>
        </w:rPr>
        <w:t>，是指普通高校接受学历教育的外国留学生数占普通高校外国留学生总数的百分比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外国留学生是指持外国护照在我国高等学校注册并接受学历教育或非学历教育的外国公民。</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该指标可反映留学生在我国接受高等学历教育的相对规模，可作为高等教育教育质量类指标。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接受学历教育的比例=普通高校中接受学历教育的外国留学生数/普通高校</w:t>
      </w:r>
      <w:r>
        <w:rPr>
          <w:rFonts w:hint="eastAsia"/>
          <w:color w:val="000000" w:themeColor="text1"/>
          <w14:textFill>
            <w14:solidFill>
              <w14:schemeClr w14:val="tx1"/>
            </w14:solidFill>
          </w14:textFill>
        </w:rPr>
        <w:t>外国</w:t>
      </w:r>
      <w:r>
        <w:rPr>
          <w:color w:val="000000" w:themeColor="text1"/>
          <w14:textFill>
            <w14:solidFill>
              <w14:schemeClr w14:val="tx1"/>
            </w14:solidFill>
          </w14:textFill>
        </w:rPr>
        <w:t>留学生总数*100%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普通高校外国留学生</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接受学历教育的比例提高，表明我国高等教育对外国留学生的吸引力增强，高等教育的国际化水平提高。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该指标值只能从一个侧面反映我国高等教育的国际化水平，可结合留学生的学历层次、所学专业及生源地等综合分析。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普通本科院校外国留学生中接受学历教育的比例（%）</w:t>
      </w:r>
    </w:p>
    <w:p>
      <w:pPr>
        <w:rPr>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=普通本科院校中接受学历教育的外国留学生数/普通本科院校外国留学生总数*100%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高职（专科）院校外国留学生中接受学历教育的比例（%）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=高职（专科）院校中接受学历教育的外国留学生数/高职（专科）院校外国留学生总数*100%</w:t>
      </w:r>
    </w:p>
    <w:p>
      <w:pPr>
        <w:pStyle w:val="2"/>
        <w:rPr>
          <w:color w:val="000000" w:themeColor="text1"/>
          <w14:textFill>
            <w14:solidFill>
              <w14:schemeClr w14:val="tx1"/>
            </w14:solidFill>
          </w14:textFill>
        </w:rPr>
      </w:pPr>
      <w:bookmarkStart w:id="96" w:name="_Toc59961144"/>
      <w:r>
        <w:rPr>
          <w:rFonts w:hint="eastAsia"/>
          <w:color w:val="000000" w:themeColor="text1"/>
          <w14:textFill>
            <w14:solidFill>
              <w14:schemeClr w14:val="tx1"/>
            </w14:solidFill>
          </w14:textFill>
        </w:rPr>
        <w:t>三、学校办学条件</w:t>
      </w:r>
      <w:bookmarkEnd w:id="96"/>
    </w:p>
    <w:p>
      <w:pPr>
        <w:pStyle w:val="2"/>
        <w:rPr>
          <w:color w:val="000000" w:themeColor="text1"/>
          <w14:textFill>
            <w14:solidFill>
              <w14:schemeClr w14:val="tx1"/>
            </w14:solidFill>
          </w14:textFill>
        </w:rPr>
      </w:pPr>
      <w:bookmarkStart w:id="97" w:name="_Toc59961145"/>
      <w:bookmarkStart w:id="98" w:name="_Toc398192912"/>
      <w:bookmarkStart w:id="99" w:name="_Toc308767778"/>
      <w:r>
        <w:rPr>
          <w:color w:val="000000" w:themeColor="text1"/>
          <w14:textFill>
            <w14:solidFill>
              <w14:schemeClr w14:val="tx1"/>
            </w14:solidFill>
          </w14:textFill>
        </w:rPr>
        <w:t>（一）教职工</w:t>
      </w:r>
      <w:bookmarkEnd w:id="97"/>
      <w:bookmarkEnd w:id="98"/>
      <w:bookmarkEnd w:id="99"/>
    </w:p>
    <w:p>
      <w:pPr>
        <w:pStyle w:val="3"/>
        <w:rPr>
          <w:color w:val="000000" w:themeColor="text1"/>
          <w14:textFill>
            <w14:solidFill>
              <w14:schemeClr w14:val="tx1"/>
            </w14:solidFill>
          </w14:textFill>
        </w:rPr>
      </w:pPr>
      <w:bookmarkStart w:id="100" w:name="_Toc59961146"/>
      <w:r>
        <w:rPr>
          <w:color w:val="000000" w:themeColor="text1"/>
          <w14:textFill>
            <w14:solidFill>
              <w14:schemeClr w14:val="tx1"/>
            </w14:solidFill>
          </w14:textFill>
        </w:rPr>
        <w:t>42. 生师比</w:t>
      </w:r>
      <w:bookmarkEnd w:id="70"/>
      <w:bookmarkEnd w:id="10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生师比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是指某学年内某级教育中每</w:t>
      </w:r>
      <w:r>
        <w:rPr>
          <w:rFonts w:hint="eastAsia"/>
          <w:color w:val="000000" w:themeColor="text1"/>
          <w14:textFill>
            <w14:solidFill>
              <w14:schemeClr w14:val="tx1"/>
            </w14:solidFill>
          </w14:textFill>
        </w:rPr>
        <w:t>位专任</w:t>
      </w:r>
      <w:r>
        <w:rPr>
          <w:color w:val="000000" w:themeColor="text1"/>
          <w14:textFill>
            <w14:solidFill>
              <w14:schemeClr w14:val="tx1"/>
            </w14:solidFill>
          </w14:textFill>
        </w:rPr>
        <w:t>教师平均所教的学生数。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用于反映教师数量充足程度，经常用作教育质量的替代指标。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生师比=某一级教育在校生总数/该级教育专任教师总数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层次；</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该指标值越高，表明每位教师平均所教的学生越多，相反，生师比越小，表明平均每位教师所教的学生越少，老师有更多的精力去关注每一个学生，有助于取得更好的教育效果</w:t>
      </w:r>
      <w:r>
        <w:rPr>
          <w:rFonts w:hint="eastAsia"/>
          <w:color w:val="000000" w:themeColor="text1"/>
          <w14:textFill>
            <w14:solidFill>
              <w14:schemeClr w14:val="tx1"/>
            </w14:solidFill>
          </w14:textFill>
        </w:rPr>
        <w:t>；而指标值过低则表明存在一定的资源浪费</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该指标主要反映教师数量的充足情况，而其他一些因素，例如，教师的自身素质、教学经验、专业背景、教学方法等都会对教学效果产生影响。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生师比</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在园幼儿总数/</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（2）小学生师比</w:t>
      </w:r>
    </w:p>
    <w:p>
      <w:pPr>
        <w:rPr>
          <w:color w:val="000000" w:themeColor="text1"/>
          <w14:textFill>
            <w14:solidFill>
              <w14:schemeClr w14:val="tx1"/>
            </w14:solidFill>
          </w14:textFill>
        </w:rPr>
      </w:pPr>
      <w:r>
        <w:rPr>
          <w:color w:val="000000" w:themeColor="text1"/>
          <w14:textFill>
            <w14:solidFill>
              <w14:schemeClr w14:val="tx1"/>
            </w14:solidFill>
          </w14:textFill>
        </w:rPr>
        <w:t>=小学在校生总数/小学专任教师总数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（3）初中生师比</w:t>
      </w:r>
    </w:p>
    <w:p>
      <w:pPr>
        <w:rPr>
          <w:color w:val="000000" w:themeColor="text1"/>
          <w14:textFill>
            <w14:solidFill>
              <w14:schemeClr w14:val="tx1"/>
            </w14:solidFill>
          </w14:textFill>
        </w:rPr>
      </w:pPr>
      <w:r>
        <w:rPr>
          <w:color w:val="000000" w:themeColor="text1"/>
          <w14:textFill>
            <w14:solidFill>
              <w14:schemeClr w14:val="tx1"/>
            </w14:solidFill>
          </w14:textFill>
        </w:rPr>
        <w:t>=初中在校生总数/初中专任教师总数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（4）普通高中生师比</w:t>
      </w:r>
    </w:p>
    <w:p>
      <w:pPr>
        <w:rPr>
          <w:color w:val="000000" w:themeColor="text1"/>
          <w14:textFill>
            <w14:solidFill>
              <w14:schemeClr w14:val="tx1"/>
            </w14:solidFill>
          </w14:textFill>
        </w:rPr>
      </w:pPr>
      <w:r>
        <w:rPr>
          <w:color w:val="000000" w:themeColor="text1"/>
          <w14:textFill>
            <w14:solidFill>
              <w14:schemeClr w14:val="tx1"/>
            </w14:solidFill>
          </w14:textFill>
        </w:rPr>
        <w:t>=普通高中在校生总数/普通高中专任教师总数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生师比</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在校生总数/特殊教育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（6）中等职业学校生师比</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=中等职业学校在校生总数/中等职业学校专任教师总数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（7）普通高校生师比</w:t>
      </w:r>
    </w:p>
    <w:p>
      <w:pPr>
        <w:spacing w:line="336" w:lineRule="auto"/>
        <w:rPr>
          <w:color w:val="000000" w:themeColor="text1"/>
          <w14:textFill>
            <w14:solidFill>
              <w14:schemeClr w14:val="tx1"/>
            </w14:solidFill>
          </w14:textFill>
        </w:rPr>
      </w:pPr>
      <w:r>
        <w:rPr>
          <w:color w:val="000000" w:themeColor="text1"/>
          <w14:textFill>
            <w14:solidFill>
              <w14:schemeClr w14:val="tx1"/>
            </w14:solidFill>
          </w14:textFill>
        </w:rPr>
        <w:t>=普通高校折合在校生数/普通高校专任教师总数</w:t>
      </w:r>
    </w:p>
    <w:p>
      <w:pPr>
        <w:spacing w:line="336" w:lineRule="auto"/>
        <w:rPr>
          <w:color w:val="000000" w:themeColor="text1"/>
          <w14:textFill>
            <w14:solidFill>
              <w14:schemeClr w14:val="tx1"/>
            </w14:solidFill>
          </w14:textFill>
        </w:rPr>
      </w:pPr>
      <w:r>
        <w:rPr>
          <w:color w:val="000000" w:themeColor="text1"/>
          <w14:textFill>
            <w14:solidFill>
              <w14:schemeClr w14:val="tx1"/>
            </w14:solidFill>
          </w14:textFill>
        </w:rPr>
        <w:t>其中，普通高校折合在校生数=普通本专科</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硕士研究生在校生数</w:t>
      </w:r>
      <w:r>
        <w:rPr>
          <w:color w:val="000000" w:themeColor="text1"/>
          <w14:textFill>
            <w14:solidFill>
              <w14:schemeClr w14:val="tx1"/>
            </w14:solidFill>
          </w14:textFill>
        </w:rPr>
        <w:t>*1.5+博士研究生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数*2+</w:t>
      </w:r>
      <w:r>
        <w:rPr>
          <w:rFonts w:hint="eastAsia" w:ascii="仿宋_GB2312" w:hAnsi="仿宋"/>
          <w:color w:val="000000" w:themeColor="text1"/>
          <w:szCs w:val="32"/>
          <w14:textFill>
            <w14:solidFill>
              <w14:schemeClr w14:val="tx1"/>
            </w14:solidFill>
          </w14:textFill>
        </w:rPr>
        <w:t>普通本专科留学生在校生数+硕士留学生在校生数*1.5+博士留学生在校生数</w:t>
      </w:r>
      <w:r>
        <w:rPr>
          <w:rFonts w:hint="eastAsia" w:ascii="仿宋_GB2312" w:hAnsi="仿宋"/>
          <w:b/>
          <w:color w:val="000000" w:themeColor="text1"/>
          <w:szCs w:val="32"/>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预科生</w:t>
      </w:r>
      <w:r>
        <w:rPr>
          <w:rFonts w:hint="eastAsia"/>
          <w:color w:val="000000" w:themeColor="text1"/>
          <w14:textFill>
            <w14:solidFill>
              <w14:schemeClr w14:val="tx1"/>
            </w14:solidFill>
          </w14:textFill>
        </w:rPr>
        <w:t>注册生</w:t>
      </w:r>
      <w:r>
        <w:rPr>
          <w:color w:val="000000" w:themeColor="text1"/>
          <w14:textFill>
            <w14:solidFill>
              <w14:schemeClr w14:val="tx1"/>
            </w14:solidFill>
          </w14:textFill>
        </w:rPr>
        <w:t>数+成人业余</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成人</w:t>
      </w:r>
      <w:r>
        <w:rPr>
          <w:color w:val="000000" w:themeColor="text1"/>
          <w14:textFill>
            <w14:solidFill>
              <w14:schemeClr w14:val="tx1"/>
            </w14:solidFill>
          </w14:textFill>
        </w:rPr>
        <w:t>函授</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生数*0.1+</w:t>
      </w:r>
      <w:r>
        <w:rPr>
          <w:rFonts w:hint="eastAsia"/>
          <w:color w:val="000000" w:themeColor="text1"/>
          <w14:textFill>
            <w14:solidFill>
              <w14:schemeClr w14:val="tx1"/>
            </w14:solidFill>
          </w14:textFill>
        </w:rPr>
        <w:t>网络本专科在校生*0.1+</w:t>
      </w:r>
      <w:r>
        <w:rPr>
          <w:color w:val="000000" w:themeColor="text1"/>
          <w14:textFill>
            <w14:solidFill>
              <w14:schemeClr w14:val="tx1"/>
            </w14:solidFill>
          </w14:textFill>
        </w:rPr>
        <w:t>本校中职在校生数</w:t>
      </w:r>
      <w:r>
        <w:rPr>
          <w:rFonts w:hint="eastAsia"/>
          <w:color w:val="000000" w:themeColor="text1"/>
          <w14:textFill>
            <w14:solidFill>
              <w14:schemeClr w14:val="tx1"/>
            </w14:solidFill>
          </w14:textFill>
        </w:rPr>
        <w:t>+其他（占用教学资源的学历教育学生数，例如</w:t>
      </w:r>
      <w:r>
        <w:rPr>
          <w:color w:val="000000" w:themeColor="text1"/>
          <w14:textFill>
            <w14:solidFill>
              <w14:schemeClr w14:val="tx1"/>
            </w14:solidFill>
          </w14:textFill>
        </w:rPr>
        <w:t>成人脱产</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w:t>
      </w:r>
      <w:r>
        <w:rPr>
          <w:rFonts w:hint="eastAsia"/>
          <w:color w:val="000000" w:themeColor="text1"/>
          <w14:textFill>
            <w14:solidFill>
              <w14:schemeClr w14:val="tx1"/>
            </w14:solidFill>
          </w14:textFill>
        </w:rPr>
        <w:t>）</w:t>
      </w:r>
    </w:p>
    <w:p>
      <w:pPr>
        <w:spacing w:line="33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普通高校专任教师总数=本校专任教师数+本学年聘请校外教师数*0.5+临床教师数*0.5</w:t>
      </w:r>
    </w:p>
    <w:p>
      <w:pPr>
        <w:spacing w:line="33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注：1.计算时，聘请校外教师折算数（本学年聘请校外教师数*0.5）不超过专任教师总数的四分之一；</w:t>
      </w:r>
    </w:p>
    <w:p>
      <w:pPr>
        <w:spacing w:line="33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2.计算国家级和省级值时，因聘请校外教师可能会计入不只一所高校，部分教师可能存在重复计算的情况。</w:t>
      </w:r>
    </w:p>
    <w:p>
      <w:pPr>
        <w:pStyle w:val="3"/>
        <w:rPr>
          <w:color w:val="000000" w:themeColor="text1"/>
          <w14:textFill>
            <w14:solidFill>
              <w14:schemeClr w14:val="tx1"/>
            </w14:solidFill>
          </w14:textFill>
        </w:rPr>
      </w:pPr>
      <w:bookmarkStart w:id="101" w:name="_Toc59961147"/>
      <w:bookmarkStart w:id="102" w:name="_Toc54862042"/>
      <w:r>
        <w:rPr>
          <w:color w:val="000000" w:themeColor="text1"/>
          <w14:textFill>
            <w14:solidFill>
              <w14:schemeClr w14:val="tx1"/>
            </w14:solidFill>
          </w14:textFill>
        </w:rPr>
        <w:t xml:space="preserve">43. </w:t>
      </w:r>
      <w:r>
        <w:rPr>
          <w:rFonts w:hint="eastAsia"/>
          <w:color w:val="000000" w:themeColor="text1"/>
          <w14:textFill>
            <w14:solidFill>
              <w14:schemeClr w14:val="tx1"/>
            </w14:solidFill>
          </w14:textFill>
        </w:rPr>
        <w:t>中（小）学班师比</w:t>
      </w:r>
      <w:bookmarkEnd w:id="101"/>
      <w:bookmarkEnd w:id="102"/>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中（小）学班师比</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中（小）学教学班数与专任</w:t>
      </w:r>
      <w:r>
        <w:rPr>
          <w:color w:val="000000" w:themeColor="text1"/>
          <w14:textFill>
            <w14:solidFill>
              <w14:schemeClr w14:val="tx1"/>
            </w14:solidFill>
          </w14:textFill>
        </w:rPr>
        <w:t>教师数</w:t>
      </w:r>
      <w:r>
        <w:rPr>
          <w:rFonts w:hint="eastAsia"/>
          <w:color w:val="000000" w:themeColor="text1"/>
          <w14:textFill>
            <w14:solidFill>
              <w14:schemeClr w14:val="tx1"/>
            </w14:solidFill>
          </w14:textFill>
        </w:rPr>
        <w:t>之比。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用于反映教师数量充足程度，</w:t>
      </w:r>
      <w:r>
        <w:rPr>
          <w:rFonts w:hint="eastAsia"/>
          <w:color w:val="000000" w:themeColor="text1"/>
          <w14:textFill>
            <w14:solidFill>
              <w14:schemeClr w14:val="tx1"/>
            </w14:solidFill>
          </w14:textFill>
        </w:rPr>
        <w:t>可作为生师比指标的辅助</w:t>
      </w:r>
      <w:r>
        <w:rPr>
          <w:color w:val="000000" w:themeColor="text1"/>
          <w14:textFill>
            <w14:solidFill>
              <w14:schemeClr w14:val="tx1"/>
            </w14:solidFill>
          </w14:textFill>
        </w:rPr>
        <w:t>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师比=某一级教育</w:t>
      </w:r>
      <w:r>
        <w:rPr>
          <w:rFonts w:hint="eastAsia"/>
          <w:color w:val="000000" w:themeColor="text1"/>
          <w14:textFill>
            <w14:solidFill>
              <w14:schemeClr w14:val="tx1"/>
            </w14:solidFill>
          </w14:textFill>
        </w:rPr>
        <w:t>教学班数</w:t>
      </w:r>
      <w:r>
        <w:rPr>
          <w:color w:val="000000" w:themeColor="text1"/>
          <w14:textFill>
            <w14:solidFill>
              <w14:schemeClr w14:val="tx1"/>
            </w14:solidFill>
          </w14:textFill>
        </w:rPr>
        <w:t>/该级教育专任教师总数</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；分办别；分课程（适用于选课制教学）</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w:t>
      </w:r>
      <w:r>
        <w:rPr>
          <w:rFonts w:hint="eastAsia"/>
          <w:color w:val="000000" w:themeColor="text1"/>
          <w14:textFill>
            <w14:solidFill>
              <w14:schemeClr w14:val="tx1"/>
            </w14:solidFill>
          </w14:textFill>
        </w:rPr>
        <w:t>为逆向指标，</w:t>
      </w:r>
      <w:r>
        <w:rPr>
          <w:color w:val="000000" w:themeColor="text1"/>
          <w14:textFill>
            <w14:solidFill>
              <w14:schemeClr w14:val="tx1"/>
            </w14:solidFill>
          </w14:textFill>
        </w:rPr>
        <w:t>越高，表明</w:t>
      </w:r>
      <w:r>
        <w:rPr>
          <w:rFonts w:hint="eastAsia"/>
          <w:color w:val="000000" w:themeColor="text1"/>
          <w14:textFill>
            <w14:solidFill>
              <w14:schemeClr w14:val="tx1"/>
            </w14:solidFill>
          </w14:textFill>
        </w:rPr>
        <w:t>每个教学班</w:t>
      </w:r>
      <w:r>
        <w:rPr>
          <w:color w:val="000000" w:themeColor="text1"/>
          <w14:textFill>
            <w14:solidFill>
              <w14:schemeClr w14:val="tx1"/>
            </w14:solidFill>
          </w14:textFill>
        </w:rPr>
        <w:t>可以配备的教师</w:t>
      </w:r>
      <w:r>
        <w:rPr>
          <w:rFonts w:hint="eastAsia"/>
          <w:color w:val="000000" w:themeColor="text1"/>
          <w14:textFill>
            <w14:solidFill>
              <w14:schemeClr w14:val="tx1"/>
            </w14:solidFill>
          </w14:textFill>
        </w:rPr>
        <w:t>越少</w:t>
      </w:r>
      <w:r>
        <w:rPr>
          <w:color w:val="000000" w:themeColor="text1"/>
          <w14:textFill>
            <w14:solidFill>
              <w14:schemeClr w14:val="tx1"/>
            </w14:solidFill>
          </w14:textFill>
        </w:rPr>
        <w:t>，教师所需承担的</w:t>
      </w:r>
      <w:r>
        <w:rPr>
          <w:rFonts w:hint="eastAsia"/>
          <w:color w:val="000000" w:themeColor="text1"/>
          <w14:textFill>
            <w14:solidFill>
              <w14:schemeClr w14:val="tx1"/>
            </w14:solidFill>
          </w14:textFill>
        </w:rPr>
        <w:t>任务</w:t>
      </w:r>
      <w:r>
        <w:rPr>
          <w:color w:val="000000" w:themeColor="text1"/>
          <w14:textFill>
            <w14:solidFill>
              <w14:schemeClr w14:val="tx1"/>
            </w14:solidFill>
          </w14:textFill>
        </w:rPr>
        <w:t>越重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越低</w:t>
      </w:r>
      <w:r>
        <w:rPr>
          <w:color w:val="000000" w:themeColor="text1"/>
          <w14:textFill>
            <w14:solidFill>
              <w14:schemeClr w14:val="tx1"/>
            </w14:solidFill>
          </w14:textFill>
        </w:rPr>
        <w:t>，表明</w:t>
      </w:r>
      <w:r>
        <w:rPr>
          <w:rFonts w:hint="eastAsia"/>
          <w:color w:val="000000" w:themeColor="text1"/>
          <w14:textFill>
            <w14:solidFill>
              <w14:schemeClr w14:val="tx1"/>
            </w14:solidFill>
          </w14:textFill>
        </w:rPr>
        <w:t>每个教学班</w:t>
      </w:r>
      <w:r>
        <w:rPr>
          <w:color w:val="000000" w:themeColor="text1"/>
          <w14:textFill>
            <w14:solidFill>
              <w14:schemeClr w14:val="tx1"/>
            </w14:solidFill>
          </w14:textFill>
        </w:rPr>
        <w:t>可以配备的教师</w:t>
      </w:r>
      <w:r>
        <w:rPr>
          <w:rFonts w:hint="eastAsia"/>
          <w:color w:val="000000" w:themeColor="text1"/>
          <w14:textFill>
            <w14:solidFill>
              <w14:schemeClr w14:val="tx1"/>
            </w14:solidFill>
          </w14:textFill>
        </w:rPr>
        <w:t>越多</w:t>
      </w:r>
      <w:r>
        <w:rPr>
          <w:color w:val="000000" w:themeColor="text1"/>
          <w14:textFill>
            <w14:solidFill>
              <w14:schemeClr w14:val="tx1"/>
            </w14:solidFill>
          </w14:textFill>
        </w:rPr>
        <w:t>，教师所需承担的</w:t>
      </w:r>
      <w:r>
        <w:rPr>
          <w:rFonts w:hint="eastAsia"/>
          <w:color w:val="000000" w:themeColor="text1"/>
          <w14:textFill>
            <w14:solidFill>
              <w14:schemeClr w14:val="tx1"/>
            </w14:solidFill>
          </w14:textFill>
        </w:rPr>
        <w:t>任务</w:t>
      </w:r>
      <w:r>
        <w:rPr>
          <w:color w:val="000000" w:themeColor="text1"/>
          <w14:textFill>
            <w14:solidFill>
              <w14:schemeClr w14:val="tx1"/>
            </w14:solidFill>
          </w14:textFill>
        </w:rPr>
        <w:t>越</w:t>
      </w:r>
      <w:r>
        <w:rPr>
          <w:rFonts w:hint="eastAsia"/>
          <w:color w:val="000000" w:themeColor="text1"/>
          <w14:textFill>
            <w14:solidFill>
              <w14:schemeClr w14:val="tx1"/>
            </w14:solidFill>
          </w14:textFill>
        </w:rPr>
        <w:t>轻。</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ascii="宋体" w:hAnsi="宋体"/>
          <w:color w:val="000000" w:themeColor="text1"/>
          <w14:textFill>
            <w14:solidFill>
              <w14:schemeClr w14:val="tx1"/>
            </w14:solidFill>
          </w14:textFill>
        </w:rPr>
        <w:t>该</w:t>
      </w:r>
      <w:r>
        <w:rPr>
          <w:rFonts w:ascii="宋体" w:hAnsi="宋体"/>
          <w:color w:val="000000" w:themeColor="text1"/>
          <w14:textFill>
            <w14:solidFill>
              <w14:schemeClr w14:val="tx1"/>
            </w14:solidFill>
          </w14:textFill>
        </w:rPr>
        <w:t>指标主要</w:t>
      </w:r>
      <w:r>
        <w:rPr>
          <w:rFonts w:hint="eastAsia" w:ascii="宋体" w:hAnsi="宋体"/>
          <w:color w:val="000000" w:themeColor="text1"/>
          <w14:textFill>
            <w14:solidFill>
              <w14:schemeClr w14:val="tx1"/>
            </w14:solidFill>
          </w14:textFill>
        </w:rPr>
        <w:t>反映</w:t>
      </w:r>
      <w:r>
        <w:rPr>
          <w:rFonts w:hint="eastAsia"/>
          <w:color w:val="000000" w:themeColor="text1"/>
          <w14:textFill>
            <w14:solidFill>
              <w14:schemeClr w14:val="tx1"/>
            </w14:solidFill>
          </w14:textFill>
        </w:rPr>
        <w:t>教师充足</w:t>
      </w:r>
      <w:r>
        <w:rPr>
          <w:color w:val="000000" w:themeColor="text1"/>
          <w14:textFill>
            <w14:solidFill>
              <w14:schemeClr w14:val="tx1"/>
            </w14:solidFill>
          </w14:textFill>
        </w:rPr>
        <w:t>程度</w:t>
      </w:r>
      <w:r>
        <w:rPr>
          <w:rFonts w:hint="eastAsia"/>
          <w:color w:val="000000" w:themeColor="text1"/>
          <w14:textFill>
            <w14:solidFill>
              <w14:schemeClr w14:val="tx1"/>
            </w14:solidFill>
          </w14:textFill>
        </w:rPr>
        <w:t>以及</w:t>
      </w:r>
      <w:r>
        <w:rPr>
          <w:color w:val="000000" w:themeColor="text1"/>
          <w14:textFill>
            <w14:solidFill>
              <w14:schemeClr w14:val="tx1"/>
            </w14:solidFill>
          </w14:textFill>
        </w:rPr>
        <w:t>班</w:t>
      </w:r>
      <w:r>
        <w:rPr>
          <w:rFonts w:hint="eastAsia"/>
          <w:color w:val="000000" w:themeColor="text1"/>
          <w14:textFill>
            <w14:solidFill>
              <w14:schemeClr w14:val="tx1"/>
            </w14:solidFill>
          </w14:textFill>
        </w:rPr>
        <w:t>级授课制下中（小）学教师工作负担</w:t>
      </w:r>
      <w:r>
        <w:rPr>
          <w:color w:val="000000" w:themeColor="text1"/>
          <w14:textFill>
            <w14:solidFill>
              <w14:schemeClr w14:val="tx1"/>
            </w14:solidFill>
          </w14:textFill>
        </w:rPr>
        <w:t>，而其他一些因素，例如，教师的自身素质、教学经验、专业背景、教学方法等都会对教学效果产生影响</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）小学班师比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=小学教学班数/小学</w:t>
      </w:r>
      <w:r>
        <w:rPr>
          <w:color w:val="000000" w:themeColor="text1"/>
          <w14:textFill>
            <w14:solidFill>
              <w14:schemeClr w14:val="tx1"/>
            </w14:solidFill>
          </w14:textFill>
        </w:rPr>
        <w:t>专任教师总数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（2）初中班师比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=初中教学班数/初中专任教师总数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（3）普通高中班师比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=普通高中教学班数/普通高中专任教师总数</w:t>
      </w:r>
    </w:p>
    <w:p>
      <w:pPr>
        <w:pStyle w:val="3"/>
        <w:rPr>
          <w:color w:val="000000" w:themeColor="text1"/>
          <w14:textFill>
            <w14:solidFill>
              <w14:schemeClr w14:val="tx1"/>
            </w14:solidFill>
          </w14:textFill>
        </w:rPr>
      </w:pPr>
      <w:bookmarkStart w:id="103" w:name="_Toc59961148"/>
      <w:r>
        <w:rPr>
          <w:color w:val="000000" w:themeColor="text1"/>
          <w14:textFill>
            <w14:solidFill>
              <w14:schemeClr w14:val="tx1"/>
            </w14:solidFill>
          </w14:textFill>
        </w:rPr>
        <w:t>44</w:t>
      </w:r>
      <w:r>
        <w:rPr>
          <w:rFonts w:hint="eastAsia"/>
          <w:color w:val="000000" w:themeColor="text1"/>
          <w14:textFill>
            <w14:solidFill>
              <w14:schemeClr w14:val="tx1"/>
            </w14:solidFill>
          </w14:textFill>
        </w:rPr>
        <w:t>. 学历合格专任教师比例（%）</w:t>
      </w:r>
      <w:bookmarkEnd w:id="10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学历合格专任教师比例</w:t>
      </w:r>
      <w:r>
        <w:rPr>
          <w:rFonts w:hint="eastAsia"/>
          <w:color w:val="000000" w:themeColor="text1"/>
          <w14:textFill>
            <w14:solidFill>
              <w14:schemeClr w14:val="tx1"/>
            </w14:solidFill>
          </w14:textFill>
        </w:rPr>
        <w:t>，是指某一级教育具有国家规定的最低学历要求的专任教师数占该级教育专任教师总数的百分比。</w:t>
      </w:r>
      <w:r>
        <w:rPr>
          <w:color w:val="000000" w:themeColor="text1"/>
          <w14:textFill>
            <w14:solidFill>
              <w14:schemeClr w14:val="tx1"/>
            </w14:solidFill>
          </w14:textFill>
        </w:rPr>
        <w:t>各级教育教师的最低学历要求，参照《中华人民共和国教师法》中的相关规定</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该指标可以反映专任教师中学历合格教师的比重，</w:t>
      </w:r>
      <w:r>
        <w:rPr>
          <w:rFonts w:hint="eastAsia"/>
          <w:color w:val="000000" w:themeColor="text1"/>
          <w14:textFill>
            <w14:solidFill>
              <w14:schemeClr w14:val="tx1"/>
            </w14:solidFill>
          </w14:textFill>
        </w:rPr>
        <w:t>监测</w:t>
      </w:r>
      <w:r>
        <w:rPr>
          <w:color w:val="000000" w:themeColor="text1"/>
          <w14:textFill>
            <w14:solidFill>
              <w14:schemeClr w14:val="tx1"/>
            </w14:solidFill>
          </w14:textFill>
        </w:rPr>
        <w:t>教师的总体质量，可作为教育条件保障类和教育质量类指标。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学历合格专任教师比例=某一级教育学历合格的专任教师数/该级教育专任教师总数×100%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该指标最高值为100%，教师学历是影响教师素质的一个重要因素，专任教师学历合格比例高，说明教师总体质量水平高</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教师学历并不是决定教师业务水平的唯一因素，教师业务水平也与教学经验、教学方法、教材以及办学条件等其</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因素有关。</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=幼儿园学历合格的专任教师数/幼儿园专任教师总数*100%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=小学学历合格的专任教师数/小学专任教师总数*100%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初中学历合格专任教师比例（%）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=初中学历合格的专任教师数/初中专任教师总数*100%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=普通高中学历合格的专任教师数/普通高中专任教师总数*100%</w:t>
      </w:r>
    </w:p>
    <w:p>
      <w:pPr>
        <w:pStyle w:val="6"/>
        <w:ind w:firstLine="482"/>
        <w:rPr>
          <w:rFonts w:ascii="宋体" w:hAnsi="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）中等职业学校学历合格专任教师比例（%）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学历合格的专任教师数/</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专任教师总数*100%</w:t>
      </w:r>
    </w:p>
    <w:p>
      <w:pPr>
        <w:pStyle w:val="3"/>
        <w:rPr>
          <w:color w:val="000000" w:themeColor="text1"/>
          <w14:textFill>
            <w14:solidFill>
              <w14:schemeClr w14:val="tx1"/>
            </w14:solidFill>
          </w14:textFill>
        </w:rPr>
      </w:pPr>
      <w:bookmarkStart w:id="104" w:name="_Toc59961149"/>
      <w:bookmarkStart w:id="105" w:name="_Toc398192919"/>
      <w:r>
        <w:rPr>
          <w:color w:val="000000" w:themeColor="text1"/>
          <w14:textFill>
            <w14:solidFill>
              <w14:schemeClr w14:val="tx1"/>
            </w14:solidFill>
          </w14:textFill>
        </w:rPr>
        <w:t xml:space="preserve">45. </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w:t>
      </w:r>
      <w:bookmarkEnd w:id="104"/>
      <w:bookmarkEnd w:id="10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高于国家规定的最低学历</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的专任教师数占该级教育专任教师总数的百分比。各级教育教师的最低学历要求</w:t>
      </w:r>
      <w:r>
        <w:rPr>
          <w:rFonts w:hint="eastAsia"/>
          <w:color w:val="000000" w:themeColor="text1"/>
          <w14:textFill>
            <w14:solidFill>
              <w14:schemeClr w14:val="tx1"/>
            </w14:solidFill>
          </w14:textFill>
        </w:rPr>
        <w:t>参照</w:t>
      </w:r>
      <w:r>
        <w:rPr>
          <w:color w:val="000000" w:themeColor="text1"/>
          <w14:textFill>
            <w14:solidFill>
              <w14:schemeClr w14:val="tx1"/>
            </w14:solidFill>
          </w14:textFill>
        </w:rPr>
        <w:t>《中华人民共和国教师法》中的相关规定</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该指标可以反映教师学历提升的趋势，可作为教育质量类指标。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学历专任教师比例=某一级教育高于规定学历专任教师数/该级教育专任教师总数*100%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高于规定</w:t>
      </w:r>
      <w:r>
        <w:rPr>
          <w:color w:val="000000" w:themeColor="text1"/>
          <w14:textFill>
            <w14:solidFill>
              <w14:schemeClr w14:val="tx1"/>
            </w14:solidFill>
          </w14:textFill>
        </w:rPr>
        <w:t>学历专任教师比例高，表明教师总体质量水平高</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教师学历并不是决定教师业务水平的唯一因素，教师业务水平也与教学经验、教学方法、教材以及办学条件等其</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因素有关。</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幼儿园专科及以上</w:t>
      </w:r>
      <w:r>
        <w:rPr>
          <w:color w:val="000000" w:themeColor="text1"/>
          <w14:textFill>
            <w14:solidFill>
              <w14:schemeClr w14:val="tx1"/>
            </w14:solidFill>
          </w14:textFill>
        </w:rPr>
        <w:t>学历专任教师比例（%）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=幼儿园</w:t>
      </w:r>
      <w:r>
        <w:rPr>
          <w:rFonts w:hint="eastAsia"/>
          <w:color w:val="000000" w:themeColor="text1"/>
          <w14:textFill>
            <w14:solidFill>
              <w14:schemeClr w14:val="tx1"/>
            </w14:solidFill>
          </w14:textFill>
        </w:rPr>
        <w:t>专科及以上</w:t>
      </w:r>
      <w:r>
        <w:rPr>
          <w:color w:val="000000" w:themeColor="text1"/>
          <w14:textFill>
            <w14:solidFill>
              <w14:schemeClr w14:val="tx1"/>
            </w14:solidFill>
          </w14:textFill>
        </w:rPr>
        <w:t>学历专任教师数/幼儿园专任教师总数*100%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w:t>
      </w:r>
      <w:r>
        <w:rPr>
          <w:rFonts w:hint="eastAsia"/>
          <w:color w:val="000000" w:themeColor="text1"/>
          <w14:textFill>
            <w14:solidFill>
              <w14:schemeClr w14:val="tx1"/>
            </w14:solidFill>
          </w14:textFill>
        </w:rPr>
        <w:t>专科及以上</w:t>
      </w:r>
      <w:r>
        <w:rPr>
          <w:color w:val="000000" w:themeColor="text1"/>
          <w14:textFill>
            <w14:solidFill>
              <w14:schemeClr w14:val="tx1"/>
            </w14:solidFill>
          </w14:textFill>
        </w:rPr>
        <w:t>学历专任教师比例（%）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专科及以上</w:t>
      </w:r>
      <w:r>
        <w:rPr>
          <w:color w:val="000000" w:themeColor="text1"/>
          <w14:textFill>
            <w14:solidFill>
              <w14:schemeClr w14:val="tx1"/>
            </w14:solidFill>
          </w14:textFill>
        </w:rPr>
        <w:t>学历专任教师数/小学专任教师总数*100%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（3）小学</w:t>
      </w:r>
      <w:r>
        <w:rPr>
          <w:rFonts w:hint="eastAsia"/>
          <w:color w:val="000000" w:themeColor="text1"/>
          <w14:textFill>
            <w14:solidFill>
              <w14:schemeClr w14:val="tx1"/>
            </w14:solidFill>
          </w14:textFill>
        </w:rPr>
        <w:t>本科及以上</w:t>
      </w:r>
      <w:r>
        <w:rPr>
          <w:color w:val="000000" w:themeColor="text1"/>
          <w14:textFill>
            <w14:solidFill>
              <w14:schemeClr w14:val="tx1"/>
            </w14:solidFill>
          </w14:textFill>
        </w:rPr>
        <w:t>学历专任教师比例（%）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本科及以上</w:t>
      </w:r>
      <w:r>
        <w:rPr>
          <w:color w:val="000000" w:themeColor="text1"/>
          <w14:textFill>
            <w14:solidFill>
              <w14:schemeClr w14:val="tx1"/>
            </w14:solidFill>
          </w14:textFill>
        </w:rPr>
        <w:t>学历专任教师数/小学专任教师总数*100%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（4）初中</w:t>
      </w:r>
      <w:r>
        <w:rPr>
          <w:rFonts w:hint="eastAsia"/>
          <w:color w:val="000000" w:themeColor="text1"/>
          <w14:textFill>
            <w14:solidFill>
              <w14:schemeClr w14:val="tx1"/>
            </w14:solidFill>
          </w14:textFill>
        </w:rPr>
        <w:t>本科及以上学</w:t>
      </w:r>
      <w:r>
        <w:rPr>
          <w:color w:val="000000" w:themeColor="text1"/>
          <w14:textFill>
            <w14:solidFill>
              <w14:schemeClr w14:val="tx1"/>
            </w14:solidFill>
          </w14:textFill>
        </w:rPr>
        <w:t>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本科及以上</w:t>
      </w:r>
      <w:r>
        <w:rPr>
          <w:color w:val="000000" w:themeColor="text1"/>
          <w14:textFill>
            <w14:solidFill>
              <w14:schemeClr w14:val="tx1"/>
            </w14:solidFill>
          </w14:textFill>
        </w:rPr>
        <w:t>学历专任教师数/初中专任教师总数*100%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义务教育阶段本科及以上学</w:t>
      </w:r>
      <w:r>
        <w:rPr>
          <w:color w:val="000000" w:themeColor="text1"/>
          <w14:textFill>
            <w14:solidFill>
              <w14:schemeClr w14:val="tx1"/>
            </w14:solidFill>
          </w14:textFill>
        </w:rPr>
        <w:t>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义务教育阶段本科及以上</w:t>
      </w:r>
      <w:r>
        <w:rPr>
          <w:color w:val="000000" w:themeColor="text1"/>
          <w14:textFill>
            <w14:solidFill>
              <w14:schemeClr w14:val="tx1"/>
            </w14:solidFill>
          </w14:textFill>
        </w:rPr>
        <w:t>学历专任教师数/</w:t>
      </w:r>
      <w:r>
        <w:rPr>
          <w:rFonts w:hint="eastAsia"/>
          <w:color w:val="000000" w:themeColor="text1"/>
          <w14:textFill>
            <w14:solidFill>
              <w14:schemeClr w14:val="tx1"/>
            </w14:solidFill>
          </w14:textFill>
        </w:rPr>
        <w:t>义务教育阶段</w:t>
      </w:r>
      <w:r>
        <w:rPr>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（6）普通高中</w:t>
      </w:r>
      <w:r>
        <w:rPr>
          <w:rFonts w:hint="eastAsia"/>
          <w:color w:val="000000" w:themeColor="text1"/>
          <w14:textFill>
            <w14:solidFill>
              <w14:schemeClr w14:val="tx1"/>
            </w14:solidFill>
          </w14:textFill>
        </w:rPr>
        <w:t>研究生学</w:t>
      </w:r>
      <w:r>
        <w:rPr>
          <w:color w:val="000000" w:themeColor="text1"/>
          <w14:textFill>
            <w14:solidFill>
              <w14:schemeClr w14:val="tx1"/>
            </w14:solidFill>
          </w14:textFill>
        </w:rPr>
        <w:t>历专任教师比例（%）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研究生</w:t>
      </w:r>
      <w:r>
        <w:rPr>
          <w:color w:val="000000" w:themeColor="text1"/>
          <w14:textFill>
            <w14:solidFill>
              <w14:schemeClr w14:val="tx1"/>
            </w14:solidFill>
          </w14:textFill>
        </w:rPr>
        <w:t>学历专任教师数/普通高中专任教师总数*100%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中等职业学校研究生学历专任教师比例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中等职业学校研究生学历专任教师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专任教师总数*100%</w:t>
      </w:r>
    </w:p>
    <w:p>
      <w:pPr>
        <w:pStyle w:val="3"/>
        <w:rPr>
          <w:color w:val="000000" w:themeColor="text1"/>
          <w14:textFill>
            <w14:solidFill>
              <w14:schemeClr w14:val="tx1"/>
            </w14:solidFill>
          </w14:textFill>
        </w:rPr>
      </w:pPr>
      <w:bookmarkStart w:id="106" w:name="_Toc398192922"/>
      <w:bookmarkStart w:id="107" w:name="_Toc59961150"/>
      <w:r>
        <w:rPr>
          <w:color w:val="000000" w:themeColor="text1"/>
          <w14:textFill>
            <w14:solidFill>
              <w14:schemeClr w14:val="tx1"/>
            </w14:solidFill>
          </w14:textFill>
        </w:rPr>
        <w:t>46. 高级专业技术职务专任教师比例（%）</w:t>
      </w:r>
      <w:bookmarkEnd w:id="106"/>
      <w:bookmarkEnd w:id="107"/>
    </w:p>
    <w:p>
      <w:pPr>
        <w:ind w:firstLine="482"/>
        <w:rPr>
          <w:iCs/>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高级专业技术职务专任教师比例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担任</w:t>
      </w:r>
      <w:r>
        <w:rPr>
          <w:color w:val="000000" w:themeColor="text1"/>
          <w14:textFill>
            <w14:solidFill>
              <w14:schemeClr w14:val="tx1"/>
            </w14:solidFill>
          </w14:textFill>
        </w:rPr>
        <w:t>高级专业技术职务的专任教师数占该级教育专任教师总数的百分比。专业技术职务是指根据实际工作需要设置的有明确职责、任职条件和任期，需要具备专门的业务知识和技术水平才能担负的工作岗位。</w:t>
      </w:r>
      <w:r>
        <w:rPr>
          <w:rFonts w:hint="eastAsia"/>
          <w:color w:val="000000" w:themeColor="text1"/>
          <w14:textFill>
            <w14:solidFill>
              <w14:schemeClr w14:val="tx1"/>
            </w14:solidFill>
          </w14:textFill>
        </w:rPr>
        <w:t>在幼儿园、小学、初中和普通高中，教师的高级专业技术职务指高级教师</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该指标可以监测和评价教师的教学能力和水平，反映教师质量情况，可作为教育质量类指标。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高级专业技术职务专任教师比例=某一级教育担任高级专业技术职务的专任教师数/该级教育专任教师总数*100%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（中等职业学校和普通高校除外）；分办别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高级专业技术职务专任教师比例高，表明教师队伍整体业务水平高，师资力量强。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教师专业技术职务是教师教学能力的重要体现，但并不是唯一方面；同时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各地各校间教师专业技术职务评定标准存在差异，进行比较时应有所考虑。</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=小学担任高级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专业技术职务的专任教师数/小学专任教师总数*100%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=初中担任高级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专业技术职务的专任教师数/初中专任教师总数*100%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=普通高中担任高级</w:t>
      </w:r>
      <w:r>
        <w:rPr>
          <w:rFonts w:hint="eastAsia"/>
          <w:color w:val="000000" w:themeColor="text1"/>
          <w14:textFill>
            <w14:solidFill>
              <w14:schemeClr w14:val="tx1"/>
            </w14:solidFill>
          </w14:textFill>
        </w:rPr>
        <w:t>教师</w:t>
      </w:r>
      <w:r>
        <w:rPr>
          <w:color w:val="000000" w:themeColor="text1"/>
          <w14:textFill>
            <w14:solidFill>
              <w14:schemeClr w14:val="tx1"/>
            </w14:solidFill>
          </w14:textFill>
        </w:rPr>
        <w:t>专业技术职务的专任教师数 /普通高中专任教师总数*100%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）中等职业学校高级专业技术职务专任教师比例（%）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=中等职业学校担任高级专业技术职务的专任教师数/中等职业学校专任教师总数*100%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）普通高校高级专业技术职务专任教师比例（%）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高校担任高级专业技术职务的专任教师数/</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高校专任教师总数*100%</w:t>
      </w:r>
    </w:p>
    <w:p>
      <w:pPr>
        <w:pStyle w:val="3"/>
        <w:rPr>
          <w:color w:val="000000" w:themeColor="text1"/>
          <w14:textFill>
            <w14:solidFill>
              <w14:schemeClr w14:val="tx1"/>
            </w14:solidFill>
          </w14:textFill>
        </w:rPr>
      </w:pPr>
      <w:bookmarkStart w:id="108" w:name="_Toc59961151"/>
      <w:r>
        <w:rPr>
          <w:color w:val="000000" w:themeColor="text1"/>
          <w14:textFill>
            <w14:solidFill>
              <w14:schemeClr w14:val="tx1"/>
            </w14:solidFill>
          </w14:textFill>
        </w:rPr>
        <w:t xml:space="preserve">47. </w:t>
      </w:r>
      <w:r>
        <w:rPr>
          <w:rFonts w:hint="eastAsia"/>
          <w:color w:val="000000" w:themeColor="text1"/>
          <w14:textFill>
            <w14:solidFill>
              <w14:schemeClr w14:val="tx1"/>
            </w14:solidFill>
          </w14:textFill>
        </w:rPr>
        <w:t>专任教师</w:t>
      </w:r>
      <w:r>
        <w:rPr>
          <w:color w:val="000000" w:themeColor="text1"/>
          <w14:textFill>
            <w14:solidFill>
              <w14:schemeClr w14:val="tx1"/>
            </w14:solidFill>
          </w14:textFill>
        </w:rPr>
        <w:t>接受培训</w:t>
      </w:r>
      <w:r>
        <w:rPr>
          <w:rFonts w:hint="eastAsia"/>
          <w:color w:val="000000" w:themeColor="text1"/>
          <w14:textFill>
            <w14:solidFill>
              <w14:schemeClr w14:val="tx1"/>
            </w14:solidFill>
          </w14:textFill>
        </w:rPr>
        <w:t>的比例（%）</w:t>
      </w:r>
      <w:bookmarkEnd w:id="10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专任教师接受培训</w:t>
      </w:r>
      <w:r>
        <w:rPr>
          <w:rFonts w:hint="eastAsia"/>
          <w:color w:val="000000" w:themeColor="text1"/>
          <w14:textFill>
            <w14:solidFill>
              <w14:schemeClr w14:val="tx1"/>
            </w14:solidFill>
          </w14:textFill>
        </w:rPr>
        <w:t>的比例，是</w:t>
      </w:r>
      <w:r>
        <w:rPr>
          <w:color w:val="000000" w:themeColor="text1"/>
          <w14:textFill>
            <w14:solidFill>
              <w14:schemeClr w14:val="tx1"/>
            </w14:solidFill>
          </w14:textFill>
        </w:rPr>
        <w:t>指上学年某一级教育接受培训</w:t>
      </w:r>
      <w:r>
        <w:rPr>
          <w:rFonts w:hint="eastAsia"/>
          <w:color w:val="000000" w:themeColor="text1"/>
          <w14:textFill>
            <w14:solidFill>
              <w14:schemeClr w14:val="tx1"/>
            </w14:solidFill>
          </w14:textFill>
        </w:rPr>
        <w:t>的专任教师数占该级教育专任教师总数的百分比</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监测教师培训与教师质量提升情况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专任教师接受培训</w:t>
      </w:r>
      <w:r>
        <w:rPr>
          <w:rFonts w:hint="eastAsia"/>
          <w:color w:val="000000" w:themeColor="text1"/>
          <w14:textFill>
            <w14:solidFill>
              <w14:schemeClr w14:val="tx1"/>
            </w14:solidFill>
          </w14:textFill>
        </w:rPr>
        <w:t>的比例</w:t>
      </w:r>
      <w:r>
        <w:rPr>
          <w:color w:val="000000" w:themeColor="text1"/>
          <w14:textFill>
            <w14:solidFill>
              <w14:schemeClr w14:val="tx1"/>
            </w14:solidFill>
          </w14:textFill>
        </w:rPr>
        <w:t>=上学年某一级教育接受培训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/上学年该级教育专任教师总数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分城乡（中等职业教育和高等教育除外）</w:t>
      </w:r>
      <w:r>
        <w:rPr>
          <w:rFonts w:hint="eastAsia"/>
          <w:color w:val="000000" w:themeColor="text1"/>
          <w14:textFill>
            <w14:solidFill>
              <w14:schemeClr w14:val="tx1"/>
            </w14:solidFill>
          </w14:textFill>
        </w:rPr>
        <w:t>；分办别；分培训层次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该指标值高说明专任教师接受培训的机会多，</w:t>
      </w:r>
      <w:r>
        <w:rPr>
          <w:color w:val="000000" w:themeColor="text1"/>
          <w14:textFill>
            <w14:solidFill>
              <w14:schemeClr w14:val="tx1"/>
            </w14:solidFill>
          </w14:textFill>
        </w:rPr>
        <w:t>有助于教师的专业发展以及教师队伍整体素质的提</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，对于保障和提升教育质量有积极意义，特别是农村地区。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教师进修培训可由不同部门组织（例如由中央部委、省级教育行政部门、地市</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教育行政部门、县级教育行政部门以及学校等），培训时间上也有所不同，一定程度上</w:t>
      </w:r>
      <w:r>
        <w:rPr>
          <w:rFonts w:hint="eastAsia"/>
          <w:color w:val="000000" w:themeColor="text1"/>
          <w14:textFill>
            <w14:solidFill>
              <w14:schemeClr w14:val="tx1"/>
            </w14:solidFill>
          </w14:textFill>
        </w:rPr>
        <w:t>可能</w:t>
      </w:r>
      <w:r>
        <w:rPr>
          <w:color w:val="000000" w:themeColor="text1"/>
          <w14:textFill>
            <w14:solidFill>
              <w14:schemeClr w14:val="tx1"/>
            </w14:solidFill>
          </w14:textFill>
        </w:rPr>
        <w:t>会影响教师培训的质量。目前该指标计算时未对这些方面进行考虑，在使用时需要注意。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=上学年幼儿园接受培训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/上学年幼儿园专任教师总数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=上学年小学接受培训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/上学年小学专任教师总数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=上学年初中接受培训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/上学年初中专任教师总数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=上学年普通高中专任教师接受培训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/上学年普通高中专任教师总数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（5）中等职业学校专任教师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/上学年中等职业学校专任教师总数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（6）普通高校专任教师</w:t>
      </w:r>
      <w:r>
        <w:rPr>
          <w:rFonts w:hint="eastAsia"/>
          <w:color w:val="000000" w:themeColor="text1"/>
          <w14:textFill>
            <w14:solidFill>
              <w14:schemeClr w14:val="tx1"/>
            </w14:solidFill>
          </w14:textFill>
        </w:rPr>
        <w:t>接受培训的比例（%）</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=上学年普通高校接受培训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/上学年普通高校专任教师总数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109" w:name="_Hlk58596182"/>
      <w:bookmarkStart w:id="110" w:name="_Toc59961152"/>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专任教师普通话水平达到二级乙等及以上的比例</w:t>
      </w:r>
      <w:bookmarkEnd w:id="109"/>
      <w:r>
        <w:rPr>
          <w:rFonts w:hint="eastAsia"/>
          <w:color w:val="000000" w:themeColor="text1"/>
          <w14:textFill>
            <w14:solidFill>
              <w14:schemeClr w14:val="tx1"/>
            </w14:solidFill>
          </w14:textFill>
        </w:rPr>
        <w:t>（%）</w:t>
      </w:r>
      <w:bookmarkEnd w:id="110"/>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专任教师普通话水平达到二级乙等及以上的比例，是指</w:t>
      </w:r>
      <w:bookmarkStart w:id="111" w:name="_Hlk58596248"/>
      <w:r>
        <w:rPr>
          <w:rFonts w:hint="eastAsia"/>
          <w:color w:val="000000" w:themeColor="text1"/>
          <w14:textFill>
            <w14:solidFill>
              <w14:schemeClr w14:val="tx1"/>
            </w14:solidFill>
          </w14:textFill>
        </w:rPr>
        <w:t>普通话水平达到二级乙等及以上</w:t>
      </w:r>
      <w:bookmarkEnd w:id="111"/>
      <w:r>
        <w:rPr>
          <w:rFonts w:hint="eastAsia"/>
          <w:color w:val="000000" w:themeColor="text1"/>
          <w14:textFill>
            <w14:solidFill>
              <w14:schemeClr w14:val="tx1"/>
            </w14:solidFill>
          </w14:textFill>
        </w:rPr>
        <w:t>的专任教师数占专任教师总数的百分比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目前按照国家规定，教师普通话水平应当达到二级乙等及以上，语文教师应当达到二级甲等及以上。</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监测了解各阶段教师普通话水平，为针对性开展教师培训等工作提供依据</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bookmarkStart w:id="112" w:name="_Hlk58596267"/>
      <w:r>
        <w:rPr>
          <w:rFonts w:hint="eastAsia"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专任教师普通话水平达到二级乙等及以上的比例=普通话水平达到二级乙等及以上的专任教师数/专任教师总数*100%</w:t>
      </w:r>
      <w:bookmarkEnd w:id="11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分学段；分城乡（中等职业学校与普通高校除外）；分办别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可反映教师掌握国家通用语言文字开展教育教学的能力，指标值越高，说明专任教师普通话水平达到国家规定要求的相对规模越高，越有助于通过学校这个基础阵地推进国家通用语言文字教育，指标值低，说明还有相当比例的专任教师需要进一步提升普通话水平，应加强教师普通话培训资源和培训能力建设</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该指标只能反映教师普通话基本素养，无法全面反映教师采用国家通用语言文字开展教育教学的实际水平。</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=幼儿园普通话水平达到二级乙等及以上的专任教师数/幼儿园专任教师总数*100%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=小学普通话水平达到二级乙等及以上的专任教师数/小学专任教师总数*100%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）小学语文专任教师普通话水平达到二级甲等及以上的比例（%）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=小学普通话水平达到二级甲等及以上的语文专任教师数/小学语文专任教师总数*100%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）初中专任教师普通话水平达到二级乙等及以上的比例（%）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=初中普通话水平达到二级乙等及以上的专任教师数/初中专任教师总数*100%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）初中语文专任教师普通话水平达到二级甲等及以上的比例（%）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=初中普通话水平达到二级甲等及以上的语文专任教师数/初中语文专任教师总数*100%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）普通高中专任教师普通话水平达到二级乙等及以上的比例（%）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=普通高中普通话水平达到二级乙等及以上的专任教师数/普通高中专任教师总数*100%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）普通高中语文专任教师普通话水平达到二级甲等及以上的比例（%）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=普通高中普通话水平达到二级甲等及以上的语文专任教师数/普通高中语文专任教师总数*100%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）中等职业学校专任教师普通话水平达到二级乙等及以上的比例（%）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=中等职业学校普通话水平达到二级乙等及以上的专任教师数/中等职业专任教师总数*100%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w:t>
      </w:r>
      <w:bookmarkStart w:id="113" w:name="_Hlk58596579"/>
      <w:r>
        <w:rPr>
          <w:rFonts w:hint="eastAsia"/>
          <w:color w:val="000000" w:themeColor="text1"/>
          <w14:textFill>
            <w14:solidFill>
              <w14:schemeClr w14:val="tx1"/>
            </w14:solidFill>
          </w14:textFill>
        </w:rPr>
        <w:t>普通高校</w:t>
      </w:r>
      <w:bookmarkEnd w:id="113"/>
      <w:r>
        <w:rPr>
          <w:rFonts w:hint="eastAsia"/>
          <w:color w:val="000000" w:themeColor="text1"/>
          <w14:textFill>
            <w14:solidFill>
              <w14:schemeClr w14:val="tx1"/>
            </w14:solidFill>
          </w14:textFill>
        </w:rPr>
        <w:t>专任教师普通话水平达到二级乙等及以上的比例（%）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=普通高校普通话水平达到二级乙等及以上的专任教师数/普通高校专任教师总数*100%</w:t>
      </w:r>
    </w:p>
    <w:p>
      <w:pPr>
        <w:pStyle w:val="3"/>
        <w:rPr>
          <w:color w:val="000000" w:themeColor="text1"/>
          <w14:textFill>
            <w14:solidFill>
              <w14:schemeClr w14:val="tx1"/>
            </w14:solidFill>
          </w14:textFill>
        </w:rPr>
      </w:pPr>
      <w:bookmarkStart w:id="114" w:name="_Toc59961153"/>
      <w:r>
        <w:rPr>
          <w:color w:val="000000" w:themeColor="text1"/>
          <w14:textFill>
            <w14:solidFill>
              <w14:schemeClr w14:val="tx1"/>
            </w14:solidFill>
          </w14:textFill>
        </w:rPr>
        <w:t>49</w:t>
      </w:r>
      <w:r>
        <w:rPr>
          <w:rFonts w:hint="eastAsia"/>
          <w:color w:val="000000" w:themeColor="text1"/>
          <w14:textFill>
            <w14:solidFill>
              <w14:schemeClr w14:val="tx1"/>
            </w14:solidFill>
          </w14:textFill>
        </w:rPr>
        <w:t>. 幼儿园学前教育专业毕业专任教师比例（%）</w:t>
      </w:r>
      <w:bookmarkEnd w:id="71"/>
      <w:bookmarkEnd w:id="11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幼儿园学前教育专业毕业专任教师比例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幼儿园学前教育专业毕业专任教师数占幼儿园专任教师总数的百分比。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该指标可以反映幼儿园专任教师中有学前教育专业学习背景的专任教师情况</w:t>
      </w:r>
      <w:r>
        <w:rPr>
          <w:rFonts w:hint="eastAsia"/>
          <w:color w:val="000000" w:themeColor="text1"/>
          <w14:textFill>
            <w14:solidFill>
              <w14:schemeClr w14:val="tx1"/>
            </w14:solidFill>
          </w14:textFill>
        </w:rPr>
        <w:t>，可作为教育质量类指标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幼儿园学前教育专业毕业专任教师比例=幼儿园学前教育专业毕业专任教师数/幼儿园专任教师总数*100%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幼儿园学前教育专业毕业专任教师比例高，表明幼儿园专任教师中接受过学前教育专业培训的教师比例高，相关的专业背景有助于幼儿园教师具备更高的专业素质</w:t>
      </w:r>
      <w:r>
        <w:rPr>
          <w:rFonts w:hint="eastAsia"/>
          <w:color w:val="000000" w:themeColor="text1"/>
          <w14:textFill>
            <w14:solidFill>
              <w14:schemeClr w14:val="tx1"/>
            </w14:solidFill>
          </w14:textFill>
        </w:rPr>
        <w:t>，提高教育质量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学前教育专业背景只是影响幼儿园专任教师业务素质的一个方面，同时教师的专业素质也可以通过职前与职后培训来提升，因此该指标只能作为反映幼儿园教师质量的一个参照指标。</w:t>
      </w:r>
    </w:p>
    <w:p>
      <w:pPr>
        <w:pStyle w:val="3"/>
        <w:rPr>
          <w:color w:val="000000" w:themeColor="text1"/>
          <w14:textFill>
            <w14:solidFill>
              <w14:schemeClr w14:val="tx1"/>
            </w14:solidFill>
          </w14:textFill>
        </w:rPr>
      </w:pPr>
      <w:bookmarkStart w:id="115" w:name="_Toc54862040"/>
      <w:bookmarkStart w:id="116" w:name="_Toc59961154"/>
      <w:bookmarkStart w:id="117" w:name="_Toc20601875"/>
      <w:bookmarkStart w:id="118" w:name="_Toc398192915"/>
      <w:bookmarkStart w:id="119" w:name="_Toc398192917"/>
      <w:bookmarkStart w:id="120" w:name="_Toc9848788"/>
      <w:r>
        <w:rPr>
          <w:color w:val="000000" w:themeColor="text1"/>
          <w14:textFill>
            <w14:solidFill>
              <w14:schemeClr w14:val="tx1"/>
            </w14:solidFill>
          </w14:textFill>
        </w:rPr>
        <w:t>50</w:t>
      </w:r>
      <w:r>
        <w:rPr>
          <w:rFonts w:hint="eastAsia"/>
          <w:color w:val="000000" w:themeColor="text1"/>
          <w14:textFill>
            <w14:solidFill>
              <w14:schemeClr w14:val="tx1"/>
            </w14:solidFill>
          </w14:textFill>
        </w:rPr>
        <w:t>. 公办幼儿园在编专任教师比例（%）</w:t>
      </w:r>
      <w:bookmarkEnd w:id="115"/>
      <w:bookmarkEnd w:id="11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公办幼儿园在编专任教师比例，是指公办幼儿园中在编专任教师数占专任教师总数的百分比。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反映公办幼儿园教师编制配备情况，一定程度上可体现政府对学前教育的投入力度。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公办幼儿园在编专任教师比例=公办幼儿园在编专任教师数/公办幼儿园专任教师总数*100%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公办幼儿园专任教师在编比例越高，往往教师队伍越稳定，教师待遇越有保障，一定程度上反映了政府对学前教育的投入和支持力度。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该指标只能反映教师编制的相对比例，不能说明学前教育专任教师队伍是否充足。</w:t>
      </w:r>
    </w:p>
    <w:bookmarkEnd w:id="117"/>
    <w:p>
      <w:pPr>
        <w:pStyle w:val="3"/>
        <w:rPr>
          <w:color w:val="000000" w:themeColor="text1"/>
          <w14:textFill>
            <w14:solidFill>
              <w14:schemeClr w14:val="tx1"/>
            </w14:solidFill>
          </w14:textFill>
        </w:rPr>
      </w:pPr>
      <w:bookmarkStart w:id="121" w:name="_Toc54862041"/>
      <w:bookmarkStart w:id="122" w:name="_Toc59961155"/>
      <w:r>
        <w:rPr>
          <w:color w:val="000000" w:themeColor="text1"/>
          <w14:textFill>
            <w14:solidFill>
              <w14:schemeClr w14:val="tx1"/>
            </w14:solidFill>
          </w14:textFill>
        </w:rPr>
        <w:t>51</w:t>
      </w:r>
      <w:r>
        <w:rPr>
          <w:rFonts w:hint="eastAsia"/>
          <w:color w:val="000000" w:themeColor="text1"/>
          <w14:textFill>
            <w14:solidFill>
              <w14:schemeClr w14:val="tx1"/>
            </w14:solidFill>
          </w14:textFill>
        </w:rPr>
        <w:t>. 义务教育阶段教师交流轮岗比例（%）</w:t>
      </w:r>
      <w:bookmarkEnd w:id="121"/>
      <w:bookmarkEnd w:id="12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教师交流轮岗比例，是指义务教育阶段上学年参与交流轮岗的专任教师数占上学年专任教师总数的百分比。教师交流轮岗的人员范围为义务教育阶段公办学校在编在岗教师。在同一所学校连续任教达到地方教育行政部门规定年限的专任教师均应交流轮岗。对教师在同一所学校连续任教年限的规定，应与中小学学制学段相衔接。</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反映了各地政府对推进校长教师交流轮岗制度的实际执行情况，可作为教育条件保障类指标。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教师交流轮岗比例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义务教育阶段上学年参与交流轮岗的教师数/义务教育阶段上学年专任教师总数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分城乡；分教师类别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、省级、地级、县级、校级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义务教育阶段教师交流轮岗比例高说明地方政府对推进教师交流轮岗制度的支持力度大。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该指标仅能反映教师参与轮岗的比例，不能全面反映地方教师交流轮岗工作执行情况，亦不能反映地方教师交流轮岗是否满足地方薄弱地区、薄弱学校的优质教师的任职任教需求。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）小学教师交流轮岗比例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小学上学年参与交流轮岗的专任教师数/小学上学年专任教师总数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）初中教师交流轮岗比例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初中上学年参与交流轮岗的专任教师数/初中上学年专任教师总数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）义务</w:t>
      </w:r>
      <w:r>
        <w:rPr>
          <w:color w:val="000000" w:themeColor="text1"/>
          <w14:textFill>
            <w14:solidFill>
              <w14:schemeClr w14:val="tx1"/>
            </w14:solidFill>
          </w14:textFill>
        </w:rPr>
        <w:t>教育阶段</w:t>
      </w:r>
      <w:r>
        <w:rPr>
          <w:rFonts w:hint="eastAsia"/>
          <w:color w:val="000000" w:themeColor="text1"/>
          <w14:textFill>
            <w14:solidFill>
              <w14:schemeClr w14:val="tx1"/>
            </w14:solidFill>
          </w14:textFill>
        </w:rPr>
        <w:t>骨干教师交流轮岗占交流轮岗教师比例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义务教育阶段上学年参与交流轮岗的骨干教师数/义务教育阶段上学年参与交流轮岗的专任教师总数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）小学骨干教师交流轮岗占交流轮岗教师比例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小学上学年参与交流轮岗的骨干教师数/小学上学年参与交流轮岗的专任教师总数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）初中骨干教师交流轮岗占交流轮岗教师比例</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初中上学年参与交流轮岗的骨干教师数/初中上学年参与交流轮岗的专任教师总数</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123" w:name="_Toc59961156"/>
      <w:r>
        <w:rPr>
          <w:color w:val="000000" w:themeColor="text1"/>
          <w14:textFill>
            <w14:solidFill>
              <w14:schemeClr w14:val="tx1"/>
            </w14:solidFill>
          </w14:textFill>
        </w:rPr>
        <w:t>52. 中（小）学县级及以上骨干教师比例（%）</w:t>
      </w:r>
      <w:bookmarkEnd w:id="118"/>
      <w:bookmarkEnd w:id="12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中（小）学县级及以上骨干教师比例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是指中（小）学县级及以上骨干教师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占中（小）学专任教师</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该指标可以反映中（小）学中高水平优秀教师的相对规模，可作为教育质量类指标。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中（小）学县级及以上骨干教师比例=中（小）学县级及以上骨干教师数/中（小）学专任教师总数*100%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中（小）学县级及以上骨干教师比例高，说明教师队伍中优秀教师多，师资力量强</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县级及以上骨干教师的评选标准由各地制定，因此，该指标主要适合一定区域内进行比较，跨区分析时需要考虑评选标准差异的影响。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（1）小学县级及以上骨干教师所占比例（%）</w:t>
      </w:r>
    </w:p>
    <w:p>
      <w:pPr>
        <w:rPr>
          <w:color w:val="000000" w:themeColor="text1"/>
          <w14:textFill>
            <w14:solidFill>
              <w14:schemeClr w14:val="tx1"/>
            </w14:solidFill>
          </w14:textFill>
        </w:rPr>
      </w:pPr>
      <w:r>
        <w:rPr>
          <w:color w:val="000000" w:themeColor="text1"/>
          <w14:textFill>
            <w14:solidFill>
              <w14:schemeClr w14:val="tx1"/>
            </w14:solidFill>
          </w14:textFill>
        </w:rPr>
        <w:t>=小学县级及以上骨干教师数/小学</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（2）初中县级及以上骨干教师所占比例（%）</w:t>
      </w:r>
    </w:p>
    <w:p>
      <w:pPr>
        <w:rPr>
          <w:color w:val="000000" w:themeColor="text1"/>
          <w14:textFill>
            <w14:solidFill>
              <w14:schemeClr w14:val="tx1"/>
            </w14:solidFill>
          </w14:textFill>
        </w:rPr>
      </w:pPr>
      <w:r>
        <w:rPr>
          <w:color w:val="000000" w:themeColor="text1"/>
          <w14:textFill>
            <w14:solidFill>
              <w14:schemeClr w14:val="tx1"/>
            </w14:solidFill>
          </w14:textFill>
        </w:rPr>
        <w:t>=初中县级及以上骨干教师数/初中</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（3）普通高中县级及以上骨干教师所占比例（%）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=普通高中县级及以上骨干教师数/普通高中</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3"/>
        <w:rPr>
          <w:color w:val="000000" w:themeColor="text1"/>
          <w14:textFill>
            <w14:solidFill>
              <w14:schemeClr w14:val="tx1"/>
            </w14:solidFill>
          </w14:textFill>
        </w:rPr>
      </w:pPr>
      <w:bookmarkStart w:id="124" w:name="_Toc59961157"/>
      <w:bookmarkStart w:id="125" w:name="_Toc54862043"/>
      <w:bookmarkStart w:id="126" w:name="_Toc398192916"/>
      <w:r>
        <w:rPr>
          <w:color w:val="000000" w:themeColor="text1"/>
          <w14:textFill>
            <w14:solidFill>
              <w14:schemeClr w14:val="tx1"/>
            </w14:solidFill>
          </w14:textFill>
        </w:rPr>
        <w:t>53</w:t>
      </w:r>
      <w:r>
        <w:rPr>
          <w:rFonts w:hint="eastAsia"/>
          <w:color w:val="000000" w:themeColor="text1"/>
          <w14:textFill>
            <w14:solidFill>
              <w14:schemeClr w14:val="tx1"/>
            </w14:solidFill>
          </w14:textFill>
        </w:rPr>
        <w:t>. 中（小）学</w:t>
      </w:r>
      <w:r>
        <w:rPr>
          <w:color w:val="000000" w:themeColor="text1"/>
          <w14:textFill>
            <w14:solidFill>
              <w14:schemeClr w14:val="tx1"/>
            </w14:solidFill>
          </w14:textFill>
        </w:rPr>
        <w:t>学生与</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比</w:t>
      </w:r>
      <w:bookmarkEnd w:id="12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学生与</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在校生数与</w:t>
      </w:r>
      <w:r>
        <w:rPr>
          <w:rFonts w:hint="eastAsia"/>
          <w:color w:val="000000" w:themeColor="text1"/>
          <w14:textFill>
            <w14:solidFill>
              <w14:schemeClr w14:val="tx1"/>
            </w14:solidFill>
          </w14:textFill>
        </w:rPr>
        <w:t>中（小）学专职心理健康教育教师</w:t>
      </w:r>
      <w:r>
        <w:rPr>
          <w:color w:val="000000" w:themeColor="text1"/>
          <w14:textFill>
            <w14:solidFill>
              <w14:schemeClr w14:val="tx1"/>
            </w14:solidFill>
          </w14:textFill>
        </w:rPr>
        <w:t>数之比。</w:t>
      </w:r>
      <w:r>
        <w:rPr>
          <w:rFonts w:hint="eastAsia"/>
          <w:color w:val="000000" w:themeColor="text1"/>
          <w14:textFill>
            <w14:solidFill>
              <w14:schemeClr w14:val="tx1"/>
            </w14:solidFill>
          </w14:textFill>
        </w:rPr>
        <w:t>专职心理健康教育教师指在开设有专门的心理健康教育课或设立了心理辅导室的学校里专门从事心理健康教育，不兼任其他学科教学的教师。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中（小）学专职心理</w:t>
      </w:r>
      <w:r>
        <w:rPr>
          <w:color w:val="000000" w:themeColor="text1"/>
          <w14:textFill>
            <w14:solidFill>
              <w14:schemeClr w14:val="tx1"/>
            </w14:solidFill>
          </w14:textFill>
        </w:rPr>
        <w:t>健康教育教师的充足程度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中（小）学学生与专职心理健康教育教师比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在校生数/</w:t>
      </w:r>
      <w:r>
        <w:rPr>
          <w:rFonts w:hint="eastAsia"/>
          <w:color w:val="000000" w:themeColor="text1"/>
          <w14:textFill>
            <w14:solidFill>
              <w14:schemeClr w14:val="tx1"/>
            </w14:solidFill>
          </w14:textFill>
        </w:rPr>
        <w:t>中（小）学专职心理健康教育教师</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该指标值越高，表明</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中每</w:t>
      </w:r>
      <w:r>
        <w:rPr>
          <w:rFonts w:hint="eastAsia"/>
          <w:color w:val="000000" w:themeColor="text1"/>
          <w14:textFill>
            <w14:solidFill>
              <w14:schemeClr w14:val="tx1"/>
            </w14:solidFill>
          </w14:textFill>
        </w:rPr>
        <w:t>位专职</w:t>
      </w:r>
      <w:r>
        <w:rPr>
          <w:color w:val="000000" w:themeColor="text1"/>
          <w14:textFill>
            <w14:solidFill>
              <w14:schemeClr w14:val="tx1"/>
            </w14:solidFill>
          </w14:textFill>
        </w:rPr>
        <w:t>心理健康教育教师对应的学生数量越多，</w:t>
      </w:r>
      <w:r>
        <w:rPr>
          <w:rFonts w:hint="eastAsia"/>
          <w:color w:val="000000" w:themeColor="text1"/>
          <w14:textFill>
            <w14:solidFill>
              <w14:schemeClr w14:val="tx1"/>
            </w14:solidFill>
          </w14:textFill>
        </w:rPr>
        <w:t>说明</w:t>
      </w:r>
      <w:r>
        <w:rPr>
          <w:color w:val="000000" w:themeColor="text1"/>
          <w14:textFill>
            <w14:solidFill>
              <w14:schemeClr w14:val="tx1"/>
            </w14:solidFill>
          </w14:textFill>
        </w:rPr>
        <w:t>心理健康教育教师队伍相对薄弱。根据</w:t>
      </w:r>
      <w:r>
        <w:rPr>
          <w:rFonts w:hint="eastAsia"/>
          <w:color w:val="000000" w:themeColor="text1"/>
          <w14:textFill>
            <w14:solidFill>
              <w14:schemeClr w14:val="tx1"/>
            </w14:solidFill>
          </w14:textFill>
        </w:rPr>
        <w:t>最新相关</w:t>
      </w:r>
      <w:r>
        <w:rPr>
          <w:color w:val="000000" w:themeColor="text1"/>
          <w14:textFill>
            <w14:solidFill>
              <w14:schemeClr w14:val="tx1"/>
            </w14:solidFill>
          </w14:textFill>
        </w:rPr>
        <w:t>规定</w:t>
      </w:r>
      <w:r>
        <w:rPr>
          <w:rStyle w:val="36"/>
          <w:color w:val="000000" w:themeColor="text1"/>
          <w14:textFill>
            <w14:solidFill>
              <w14:schemeClr w14:val="tx1"/>
            </w14:solidFill>
          </w14:textFill>
        </w:rPr>
        <w:footnoteReference w:id="2"/>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各地各校要制订规划，逐步配齐心理健康教育专职教师，每所中（小）学校至少配备一名专职或兼职心理健康教育教师，并逐步增大专职人员配比</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专职心理健康教育教师数量的充足情况，不能</w:t>
      </w:r>
      <w:r>
        <w:rPr>
          <w:rFonts w:hint="eastAsia"/>
          <w:color w:val="000000" w:themeColor="text1"/>
          <w14:textFill>
            <w14:solidFill>
              <w14:schemeClr w14:val="tx1"/>
            </w14:solidFill>
          </w14:textFill>
        </w:rPr>
        <w:t>反映心理</w:t>
      </w:r>
      <w:r>
        <w:rPr>
          <w:color w:val="000000" w:themeColor="text1"/>
          <w14:textFill>
            <w14:solidFill>
              <w14:schemeClr w14:val="tx1"/>
            </w14:solidFill>
          </w14:textFill>
        </w:rPr>
        <w:t>健康教育教师的</w:t>
      </w:r>
      <w:r>
        <w:rPr>
          <w:rFonts w:hint="eastAsia"/>
          <w:color w:val="000000" w:themeColor="text1"/>
          <w14:textFill>
            <w14:solidFill>
              <w14:schemeClr w14:val="tx1"/>
            </w14:solidFill>
          </w14:textFill>
        </w:rPr>
        <w:t>业务</w:t>
      </w:r>
      <w:r>
        <w:rPr>
          <w:color w:val="000000" w:themeColor="text1"/>
          <w14:textFill>
            <w14:solidFill>
              <w14:schemeClr w14:val="tx1"/>
            </w14:solidFill>
          </w14:textFill>
        </w:rPr>
        <w:t>素质对</w:t>
      </w:r>
      <w:r>
        <w:rPr>
          <w:rFonts w:hint="eastAsia"/>
          <w:color w:val="000000" w:themeColor="text1"/>
          <w14:textFill>
            <w14:solidFill>
              <w14:schemeClr w14:val="tx1"/>
            </w14:solidFill>
          </w14:textFill>
        </w:rPr>
        <w:t>学生心理</w:t>
      </w:r>
      <w:r>
        <w:rPr>
          <w:color w:val="000000" w:themeColor="text1"/>
          <w14:textFill>
            <w14:solidFill>
              <w14:schemeClr w14:val="tx1"/>
            </w14:solidFill>
          </w14:textFill>
        </w:rPr>
        <w:t>健康教育的影响。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小学学生与专职心理健康教育教师比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w:t>
      </w:r>
      <w:r>
        <w:rPr>
          <w:color w:val="000000" w:themeColor="text1"/>
          <w14:textFill>
            <w14:solidFill>
              <w14:schemeClr w14:val="tx1"/>
            </w14:solidFill>
          </w14:textFill>
        </w:rPr>
        <w:t>在校生数/小学</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初中学生与专职心理健康教育教师比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w:t>
      </w:r>
      <w:r>
        <w:rPr>
          <w:color w:val="000000" w:themeColor="text1"/>
          <w14:textFill>
            <w14:solidFill>
              <w14:schemeClr w14:val="tx1"/>
            </w14:solidFill>
          </w14:textFill>
        </w:rPr>
        <w:t>在校生数/</w:t>
      </w:r>
      <w:r>
        <w:rPr>
          <w:rFonts w:hint="eastAsia"/>
          <w:color w:val="000000" w:themeColor="text1"/>
          <w14:textFill>
            <w14:solidFill>
              <w14:schemeClr w14:val="tx1"/>
            </w14:solidFill>
          </w14:textFill>
        </w:rPr>
        <w:t>初中专职心理健康教育教师</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学生与专职心理健康教育教师比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高中在校生数/</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专职心理健康教育教师</w:t>
      </w:r>
      <w:r>
        <w:rPr>
          <w:color w:val="000000" w:themeColor="text1"/>
          <w14:textFill>
            <w14:solidFill>
              <w14:schemeClr w14:val="tx1"/>
            </w14:solidFill>
          </w14:textFill>
        </w:rPr>
        <w:t>数</w:t>
      </w:r>
    </w:p>
    <w:p>
      <w:pPr>
        <w:pStyle w:val="3"/>
      </w:pPr>
      <w:bookmarkStart w:id="127" w:name="_Toc59961158"/>
      <w:bookmarkStart w:id="128" w:name="_Toc20601878"/>
      <w:bookmarkStart w:id="129" w:name="_Toc54862045"/>
      <w:r>
        <w:rPr>
          <w:rFonts w:hint="eastAsia"/>
        </w:rPr>
        <w:t>5</w:t>
      </w:r>
      <w:r>
        <w:t xml:space="preserve">4. </w:t>
      </w:r>
      <w:r>
        <w:rPr>
          <w:rFonts w:hint="eastAsia"/>
        </w:rPr>
        <w:t>每百名学生拥有思想政治理论课专任教师数（人）</w:t>
      </w:r>
      <w:bookmarkEnd w:id="127"/>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思想政治理论课专任教师指专职从事思想政治理论教学的教师。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 xml:space="preserve">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每百名学生拥有思想政治理论课专任教师数=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分学段；分城乡（中等职业学校与普通高校除外）；分办别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思想政治理论课专任教师数越高，说明思想政治理论课专任教师越</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，更能够满足学生的思想政治理论教学需求。根据最新文件要求</w:t>
      </w:r>
      <w:r>
        <w:rPr>
          <w:rStyle w:val="36"/>
          <w:color w:val="000000" w:themeColor="text1"/>
          <w14:textFill>
            <w14:solidFill>
              <w14:schemeClr w14:val="tx1"/>
            </w14:solidFill>
          </w14:textFill>
        </w:rPr>
        <w:footnoteReference w:id="3"/>
      </w:r>
      <w:r>
        <w:rPr>
          <w:rFonts w:hint="eastAsia"/>
          <w:color w:val="000000" w:themeColor="text1"/>
          <w14:textFill>
            <w14:solidFill>
              <w14:schemeClr w14:val="tx1"/>
            </w14:solidFill>
          </w14:textFill>
        </w:rPr>
        <w:t>，高校要严格按照师生比不低于1:350的比例核定专职思政课教师岗位，中小学要规范思政课教师配备制度。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充足情况，不能体现实际</w:t>
      </w:r>
      <w:r>
        <w:rPr>
          <w:rFonts w:hint="eastAsia"/>
          <w:color w:val="000000" w:themeColor="text1"/>
          <w14:textFill>
            <w14:solidFill>
              <w14:schemeClr w14:val="tx1"/>
            </w14:solidFill>
          </w14:textFill>
        </w:rPr>
        <w:t>的思想政治理论教学质量。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思想政治理论课专任教师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（3）普通高中每百名学生拥有思想政治理论课专任教师数（人）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普通高中思想政治理论课专任教师数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（4）中等职业学校每百名学生拥有思想政治理论课专任教师数（人）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思想政治理论课专任教师数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）普通高校每百名学生拥有思想政治理论课专任教师数（人）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普通高校思想政治理论课专任教师数</w:t>
      </w:r>
      <w:r>
        <w:rPr>
          <w:color w:val="000000" w:themeColor="text1"/>
          <w14:textFill>
            <w14:solidFill>
              <w14:schemeClr w14:val="tx1"/>
            </w14:solidFill>
          </w14:textFill>
        </w:rPr>
        <w:t>/</w:t>
      </w:r>
      <w:bookmarkStart w:id="130" w:name="_Hlk59354446"/>
      <w:r>
        <w:rPr>
          <w:rFonts w:hint="eastAsia"/>
          <w:color w:val="000000" w:themeColor="text1"/>
          <w14:textFill>
            <w14:solidFill>
              <w14:schemeClr w14:val="tx1"/>
            </w14:solidFill>
          </w14:textFill>
        </w:rPr>
        <w:t>普通高校</w:t>
      </w:r>
      <w:bookmarkEnd w:id="130"/>
      <w:r>
        <w:rPr>
          <w:rFonts w:hint="eastAsia"/>
          <w:color w:val="000000" w:themeColor="text1"/>
          <w14:textFill>
            <w14:solidFill>
              <w14:schemeClr w14:val="tx1"/>
            </w14:solidFill>
          </w14:textFill>
        </w:rPr>
        <w:t>折合在校生数</w:t>
      </w:r>
      <w:r>
        <w:rPr>
          <w:color w:val="000000" w:themeColor="text1"/>
          <w14:textFill>
            <w14:solidFill>
              <w14:schemeClr w14:val="tx1"/>
            </w14:solidFill>
          </w14:textFill>
        </w:rPr>
        <w:t>*100</w:t>
      </w:r>
    </w:p>
    <w:bookmarkEnd w:id="128"/>
    <w:bookmarkEnd w:id="129"/>
    <w:p>
      <w:pPr>
        <w:pStyle w:val="3"/>
        <w:rPr>
          <w:color w:val="000000" w:themeColor="text1"/>
          <w14:textFill>
            <w14:solidFill>
              <w14:schemeClr w14:val="tx1"/>
            </w14:solidFill>
          </w14:textFill>
        </w:rPr>
      </w:pPr>
      <w:bookmarkStart w:id="131" w:name="_Toc59961159"/>
      <w:r>
        <w:rPr>
          <w:color w:val="000000" w:themeColor="text1"/>
          <w14:textFill>
            <w14:solidFill>
              <w14:schemeClr w14:val="tx1"/>
            </w14:solidFill>
          </w14:textFill>
        </w:rPr>
        <w:t>55</w:t>
      </w:r>
      <w:r>
        <w:rPr>
          <w:rFonts w:hint="eastAsia"/>
          <w:color w:val="000000" w:themeColor="text1"/>
          <w14:textFill>
            <w14:solidFill>
              <w14:schemeClr w14:val="tx1"/>
            </w14:solidFill>
          </w14:textFill>
        </w:rPr>
        <w:t>. 每百名学生拥有体育专任教师数</w:t>
      </w:r>
      <w:bookmarkEnd w:id="125"/>
      <w:r>
        <w:rPr>
          <w:rFonts w:hint="eastAsia"/>
          <w:color w:val="000000" w:themeColor="text1"/>
          <w14:textFill>
            <w14:solidFill>
              <w14:schemeClr w14:val="tx1"/>
            </w14:solidFill>
          </w14:textFill>
        </w:rPr>
        <w:t>（人）</w:t>
      </w:r>
      <w:bookmarkEnd w:id="131"/>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体育专任教师指专职从事体育教学的教师。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 xml:space="preserve">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每百名学生拥有体育专任教师数=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分学段；分城乡（中等职业学校除外）；分办别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r>
        <w:rPr>
          <w:color w:val="000000" w:themeColor="text1"/>
          <w14:textFill>
            <w14:solidFill>
              <w14:schemeClr w14:val="tx1"/>
            </w14:solidFill>
          </w14:textFill>
        </w:rPr>
        <w:t>、校级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体育专任教师数越高，说明体育专任教师越</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，更能够满足学生的体育教学需求。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充足情况，不能体现实际</w:t>
      </w:r>
      <w:r>
        <w:rPr>
          <w:rFonts w:hint="eastAsia"/>
          <w:color w:val="000000" w:themeColor="text1"/>
          <w14:textFill>
            <w14:solidFill>
              <w14:schemeClr w14:val="tx1"/>
            </w14:solidFill>
          </w14:textFill>
        </w:rPr>
        <w:t>的体育教学质量。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体育专任教师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体育专任教师数（人）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（3）普通高中每百名学生拥有体育专任教师数（人）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普通高中体育专任教师数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（4）中等职业学校每百名学生拥有体育专任教师数</w:t>
      </w:r>
      <w:bookmarkStart w:id="132" w:name="_Toc54862044"/>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体育专任教师数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在校生总数*100</w:t>
      </w:r>
    </w:p>
    <w:p>
      <w:pPr>
        <w:pStyle w:val="3"/>
        <w:rPr>
          <w:color w:val="000000" w:themeColor="text1"/>
          <w14:textFill>
            <w14:solidFill>
              <w14:schemeClr w14:val="tx1"/>
            </w14:solidFill>
          </w14:textFill>
        </w:rPr>
      </w:pPr>
      <w:bookmarkStart w:id="133" w:name="_Toc59961160"/>
      <w:r>
        <w:rPr>
          <w:color w:val="000000" w:themeColor="text1"/>
          <w14:textFill>
            <w14:solidFill>
              <w14:schemeClr w14:val="tx1"/>
            </w14:solidFill>
          </w14:textFill>
        </w:rPr>
        <w:t>56</w:t>
      </w:r>
      <w:r>
        <w:rPr>
          <w:rFonts w:hint="eastAsia"/>
          <w:color w:val="000000" w:themeColor="text1"/>
          <w14:textFill>
            <w14:solidFill>
              <w14:schemeClr w14:val="tx1"/>
            </w14:solidFill>
          </w14:textFill>
        </w:rPr>
        <w:t>. 每百名学生拥有</w:t>
      </w:r>
      <w:bookmarkStart w:id="134" w:name="_Hlk54778662"/>
      <w:r>
        <w:rPr>
          <w:rFonts w:hint="eastAsia"/>
          <w:color w:val="000000" w:themeColor="text1"/>
          <w14:textFill>
            <w14:solidFill>
              <w14:schemeClr w14:val="tx1"/>
            </w14:solidFill>
          </w14:textFill>
        </w:rPr>
        <w:t>美育</w:t>
      </w:r>
      <w:bookmarkEnd w:id="134"/>
      <w:r>
        <w:rPr>
          <w:rFonts w:hint="eastAsia"/>
          <w:color w:val="000000" w:themeColor="text1"/>
          <w14:textFill>
            <w14:solidFill>
              <w14:schemeClr w14:val="tx1"/>
            </w14:solidFill>
          </w14:textFill>
        </w:rPr>
        <w:t>专任教师数</w:t>
      </w:r>
      <w:bookmarkEnd w:id="132"/>
      <w:r>
        <w:rPr>
          <w:rFonts w:hint="eastAsia"/>
          <w:color w:val="000000" w:themeColor="text1"/>
          <w14:textFill>
            <w14:solidFill>
              <w14:schemeClr w14:val="tx1"/>
            </w14:solidFill>
          </w14:textFill>
        </w:rPr>
        <w:t>（人）</w:t>
      </w:r>
      <w:bookmarkEnd w:id="133"/>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bookmarkStart w:id="135" w:name="_Hlk54778670"/>
      <w:r>
        <w:rPr>
          <w:rFonts w:hint="eastAsia"/>
          <w:color w:val="000000" w:themeColor="text1"/>
          <w14:textFill>
            <w14:solidFill>
              <w14:schemeClr w14:val="tx1"/>
            </w14:solidFill>
          </w14:textFill>
        </w:rPr>
        <w:t>美育</w:t>
      </w:r>
      <w:bookmarkEnd w:id="135"/>
      <w:r>
        <w:rPr>
          <w:rFonts w:hint="eastAsia"/>
          <w:color w:val="000000" w:themeColor="text1"/>
          <w14:textFill>
            <w14:solidFill>
              <w14:schemeClr w14:val="tx1"/>
            </w14:solidFill>
          </w14:textFill>
        </w:rPr>
        <w:t>专任教师数，</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美育专任教师数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美育专任教师指专职从事</w:t>
      </w:r>
      <w:bookmarkStart w:id="136" w:name="_Hlk54778760"/>
      <w:r>
        <w:rPr>
          <w:rFonts w:hint="eastAsia"/>
          <w:color w:val="000000" w:themeColor="text1"/>
          <w14:textFill>
            <w14:solidFill>
              <w14:schemeClr w14:val="tx1"/>
            </w14:solidFill>
          </w14:textFill>
        </w:rPr>
        <w:t>美育（音乐、美术、书法等）</w:t>
      </w:r>
      <w:bookmarkEnd w:id="136"/>
      <w:r>
        <w:rPr>
          <w:rFonts w:hint="eastAsia"/>
          <w:color w:val="000000" w:themeColor="text1"/>
          <w14:textFill>
            <w14:solidFill>
              <w14:schemeClr w14:val="tx1"/>
            </w14:solidFill>
          </w14:textFill>
        </w:rPr>
        <w:t>教学的教师。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美育专任教师</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 xml:space="preserve">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每百名学生拥有美育专任教师数=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美育专任教师</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分学段；分城乡（中等职业学校除外）；分办别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r>
        <w:rPr>
          <w:color w:val="000000" w:themeColor="text1"/>
          <w14:textFill>
            <w14:solidFill>
              <w14:schemeClr w14:val="tx1"/>
            </w14:solidFill>
          </w14:textFill>
        </w:rPr>
        <w:t>、校级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美育专任教师数越高，说明美育专任教师越</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，更能够满足学生的美育（音乐、美术、书法等）教学需求。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美育（音乐、美术、书法等）专任教师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充足情况，不能体现实际</w:t>
      </w:r>
      <w:r>
        <w:rPr>
          <w:rFonts w:hint="eastAsia"/>
          <w:color w:val="000000" w:themeColor="text1"/>
          <w14:textFill>
            <w14:solidFill>
              <w14:schemeClr w14:val="tx1"/>
            </w14:solidFill>
          </w14:textFill>
        </w:rPr>
        <w:t>的美育（音乐、美术、书法）教学质量。</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美育（音乐、美术、书法等）专任教师</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美育（音乐、美术、书法等）专任教师数</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美育（音乐、美术、书法等）专任教师数（人）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美育（音乐、美术、书法等）专任教师数</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美育（音乐、美术、书法等）专任教师数（人）</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普通高中美育（音乐、美术、书法等）专任教师数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美育（音乐、美术、书法等）专任教师数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中等职业学校美育（音乐、美术、书法等）专任教师数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w:t>
      </w:r>
      <w:r>
        <w:rPr>
          <w:color w:val="000000" w:themeColor="text1"/>
          <w14:textFill>
            <w14:solidFill>
              <w14:schemeClr w14:val="tx1"/>
            </w14:solidFill>
          </w14:textFill>
        </w:rPr>
        <w:t>在校生总数*100</w:t>
      </w:r>
    </w:p>
    <w:bookmarkEnd w:id="126"/>
    <w:p>
      <w:pPr>
        <w:pStyle w:val="3"/>
        <w:rPr>
          <w:color w:val="000000" w:themeColor="text1"/>
          <w14:textFill>
            <w14:solidFill>
              <w14:schemeClr w14:val="tx1"/>
            </w14:solidFill>
          </w14:textFill>
        </w:rPr>
      </w:pPr>
      <w:bookmarkStart w:id="137" w:name="_Toc59961161"/>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每百名学生拥有劳动与综合实践活动课程专任教师数（人）</w:t>
      </w:r>
      <w:bookmarkEnd w:id="137"/>
    </w:p>
    <w:p>
      <w:pPr>
        <w:ind w:firstLine="482"/>
      </w:pPr>
      <w:r>
        <w:rPr>
          <w:rFonts w:hint="eastAsia" w:ascii="黑体" w:hAnsi="黑体" w:eastAsia="黑体"/>
          <w:b/>
          <w:bCs/>
        </w:rPr>
        <w:t>定义：</w:t>
      </w:r>
      <w:r>
        <w:rPr>
          <w:rFonts w:hint="eastAsia"/>
        </w:rPr>
        <w:t>每百名学生拥有劳动与综合实践活动课程专任教师数，是指某一级教育每百名学生平均拥有的劳动与综合实践活动课程专任教师数。劳动与综合实践活动课程专任教师指专职从事劳动与综合实践活动课程教学的教师。</w:t>
      </w:r>
    </w:p>
    <w:p>
      <w:pPr>
        <w:ind w:firstLine="482"/>
      </w:pPr>
      <w:r>
        <w:rPr>
          <w:rFonts w:hint="eastAsia" w:ascii="黑体" w:hAnsi="黑体" w:eastAsia="黑体"/>
          <w:b/>
          <w:bCs/>
        </w:rPr>
        <w:t>用途：</w:t>
      </w:r>
      <w:r>
        <w:rPr>
          <w:rFonts w:hint="eastAsia"/>
        </w:rPr>
        <w:t>该指标可反映劳动与综合实践活动课程教师的充足程度，可作为教育条件保障类指标。</w:t>
      </w:r>
    </w:p>
    <w:p>
      <w:pPr>
        <w:ind w:firstLine="482"/>
      </w:pPr>
      <w:r>
        <w:rPr>
          <w:rFonts w:hint="eastAsia" w:ascii="黑体" w:hAnsi="黑体" w:eastAsia="黑体"/>
          <w:b/>
          <w:bCs/>
        </w:rPr>
        <w:t>公式：</w:t>
      </w:r>
      <w:r>
        <w:rPr>
          <w:rFonts w:hint="eastAsia"/>
        </w:rPr>
        <w:t>每百名学生拥有劳动与综合实践活动课程专任教师数=某一级教育劳动与综合实践活动课程专任教师总数/该级教育在校生总数*100</w:t>
      </w:r>
    </w:p>
    <w:p>
      <w:pPr>
        <w:ind w:firstLine="482"/>
      </w:pPr>
      <w:r>
        <w:rPr>
          <w:rFonts w:hint="eastAsia" w:ascii="黑体" w:hAnsi="黑体" w:eastAsia="黑体"/>
          <w:b/>
          <w:bCs/>
        </w:rPr>
        <w:t>数据来源：</w:t>
      </w:r>
      <w:r>
        <w:rPr>
          <w:rFonts w:hint="eastAsia"/>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ascii="黑体" w:hAnsi="黑体" w:eastAsia="黑体"/>
          <w:b/>
          <w:color w:val="000000" w:themeColor="text1"/>
          <w14:textFill>
            <w14:solidFill>
              <w14:schemeClr w14:val="tx1"/>
            </w14:solidFill>
          </w14:textFill>
        </w:rPr>
        <w:t>：</w:t>
      </w:r>
      <w:r>
        <w:rPr>
          <w:rFonts w:hint="eastAsia"/>
          <w:color w:val="000000" w:themeColor="text1"/>
          <w14:textFill>
            <w14:solidFill>
              <w14:schemeClr w14:val="tx1"/>
            </w14:solidFill>
          </w14:textFill>
        </w:rPr>
        <w:t>分学段；分城乡（中等职业学校与普通高校除外）；分办别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pPr>
      <w:r>
        <w:rPr>
          <w:rFonts w:hint="eastAsia" w:ascii="黑体" w:hAnsi="黑体" w:eastAsia="黑体"/>
          <w:b/>
          <w:bCs/>
        </w:rPr>
        <w:t>指标释义：</w:t>
      </w:r>
      <w:r>
        <w:rPr>
          <w:rFonts w:hint="eastAsia"/>
        </w:rPr>
        <w:t>每百名学生拥有劳动与综合实践活动课程专任教师数越高，说明劳动与综合实践活动课程专任教师越充足，更能够满足学生的劳动与综合实践活动课程教学需求。</w:t>
      </w:r>
    </w:p>
    <w:p>
      <w:pPr>
        <w:ind w:firstLine="482"/>
      </w:pPr>
      <w:r>
        <w:rPr>
          <w:rFonts w:hint="eastAsia" w:ascii="黑体" w:hAnsi="黑体" w:eastAsia="黑体"/>
          <w:b/>
          <w:bCs/>
        </w:rPr>
        <w:t>局限性：</w:t>
      </w:r>
      <w:r>
        <w:rPr>
          <w:rFonts w:hint="eastAsia"/>
        </w:rPr>
        <w:t>该指标只能反映劳动与综合实践活动课程专任教师的</w:t>
      </w:r>
      <w:r>
        <w:rPr>
          <w:rFonts w:hint="eastAsia"/>
          <w:color w:val="000000" w:themeColor="text1"/>
          <w14:textFill>
            <w14:solidFill>
              <w14:schemeClr w14:val="tx1"/>
            </w14:solidFill>
          </w14:textFill>
        </w:rPr>
        <w:t>相对</w:t>
      </w:r>
      <w:r>
        <w:rPr>
          <w:rFonts w:hint="eastAsia"/>
        </w:rPr>
        <w:t>充足情况，不能体现实际的劳动与综合实践活动课程的教学质量。</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）小学每百名学生拥有劳动与综合实践活动课程专任教师数（人）</w:t>
      </w:r>
    </w:p>
    <w:p>
      <w:r>
        <w:rPr>
          <w:rFonts w:hint="eastAsia"/>
        </w:rPr>
        <w:t>=小学学校劳动与综合实践活动课程专任教师数/小学在校生总数*100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）初中每百名学生拥有劳动与综合实践活动课程专任教师数（人）</w:t>
      </w:r>
    </w:p>
    <w:p>
      <w:r>
        <w:rPr>
          <w:rFonts w:hint="eastAsia"/>
        </w:rPr>
        <w:t>=初中学校劳动与综合实践活动课程专任教师数/初中在校生总数*100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）普通高中每百名学生拥有劳动与综合实践活动课程专任教师数（人）</w:t>
      </w:r>
    </w:p>
    <w:p>
      <w:r>
        <w:rPr>
          <w:rFonts w:hint="eastAsia"/>
        </w:rPr>
        <w:t>=普通高中学校劳动与综合实践活动课程专任教师数/普通高中在校生总数*100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）中等职业学校每百名学生拥有劳动与综合实践活动课程专任教师数（人）</w:t>
      </w:r>
    </w:p>
    <w:p>
      <w:r>
        <w:rPr>
          <w:rFonts w:hint="eastAsia"/>
        </w:rPr>
        <w:t>=中等职业学校劳动与综合实践活动课程专任教师数/中等职业学校在校生总数*100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）普通高校每百名学生拥有劳动与综合实践活动课程专任教师数（人）</w:t>
      </w:r>
    </w:p>
    <w:p>
      <w:pPr>
        <w:rPr>
          <w:color w:val="000000" w:themeColor="text1"/>
          <w14:textFill>
            <w14:solidFill>
              <w14:schemeClr w14:val="tx1"/>
            </w14:solidFill>
          </w14:textFill>
        </w:rPr>
      </w:pPr>
      <w:r>
        <w:rPr>
          <w:rFonts w:hint="eastAsia"/>
        </w:rPr>
        <w:t>=普通高校劳动与综合实践活动课程专任教师数/普通高校在校生总数*100</w:t>
      </w:r>
    </w:p>
    <w:p>
      <w:pPr>
        <w:pStyle w:val="3"/>
        <w:rPr>
          <w:color w:val="000000" w:themeColor="text1"/>
          <w14:textFill>
            <w14:solidFill>
              <w14:schemeClr w14:val="tx1"/>
            </w14:solidFill>
          </w14:textFill>
        </w:rPr>
      </w:pPr>
      <w:bookmarkStart w:id="138" w:name="_Toc59961162"/>
      <w:r>
        <w:rPr>
          <w:color w:val="000000" w:themeColor="text1"/>
          <w14:textFill>
            <w14:solidFill>
              <w14:schemeClr w14:val="tx1"/>
            </w14:solidFill>
          </w14:textFill>
        </w:rPr>
        <w:t>58.</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特殊教育学校受过特教专业培训的专任教师比例（%）</w:t>
      </w:r>
      <w:bookmarkEnd w:id="119"/>
      <w:bookmarkEnd w:id="13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特殊教育学校受过特教专业培训的专任教师比例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是指特殊教育学校中受过特教专业培训的专任教师</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占特殊教育学校专任教师总数的百分比。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该指标可以反映特殊教育学校中接受过特教专业培训的专任教师情况，可作为教育条件保障类和教育质量类指标。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特殊教育学校受过特教专业培训的专任教师比例=特殊教育学校受过特教专业培训的专任教师数/特殊教育学校专任教师总数*100%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特殊教育学校受过特教专业培训的专任教师比例高，说明特殊教育教师队伍中有更多教师具备特教专业知识，可反映特殊教育教师队伍的业务素质</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接受过特教专业培训只是影响特殊教育教师业务素质的一个方面，因此只能作为反映特殊教育专任教师质量的一个参照指标。</w:t>
      </w:r>
    </w:p>
    <w:p>
      <w:pPr>
        <w:pStyle w:val="3"/>
        <w:rPr>
          <w:color w:val="000000" w:themeColor="text1"/>
          <w14:textFill>
            <w14:solidFill>
              <w14:schemeClr w14:val="tx1"/>
            </w14:solidFill>
          </w14:textFill>
        </w:rPr>
      </w:pPr>
      <w:bookmarkStart w:id="139" w:name="_Toc398192920"/>
      <w:bookmarkStart w:id="140" w:name="_Toc59961163"/>
      <w:bookmarkStart w:id="141" w:name="_Toc398192924"/>
      <w:r>
        <w:rPr>
          <w:color w:val="000000" w:themeColor="text1"/>
          <w14:textFill>
            <w14:solidFill>
              <w14:schemeClr w14:val="tx1"/>
            </w14:solidFill>
          </w14:textFill>
        </w:rPr>
        <w:t xml:space="preserve">59.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bookmarkEnd w:id="139"/>
      <w:bookmarkEnd w:id="14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是指职业教育中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教师占</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教师总数的百分比。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”教师是</w:t>
      </w:r>
      <w:r>
        <w:rPr>
          <w:color w:val="000000" w:themeColor="text1"/>
          <w14:textFill>
            <w14:solidFill>
              <w14:schemeClr w14:val="tx1"/>
            </w14:solidFill>
          </w14:textFill>
        </w:rPr>
        <w:t>指同时具备教师资格和行业能力资格，从事职业教育工作的教师。</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该指标可监测和评价全国及各地职业</w:t>
      </w:r>
      <w:r>
        <w:rPr>
          <w:rFonts w:hint="eastAsia"/>
          <w:color w:val="000000" w:themeColor="text1"/>
          <w14:textFill>
            <w14:solidFill>
              <w14:schemeClr w14:val="tx1"/>
            </w14:solidFill>
          </w14:textFill>
        </w:rPr>
        <w:t>教育</w:t>
      </w:r>
      <w:r>
        <w:rPr>
          <w:color w:val="000000" w:themeColor="text1"/>
          <w14:textFill>
            <w14:solidFill>
              <w14:schemeClr w14:val="tx1"/>
            </w14:solidFill>
          </w14:textFill>
        </w:rPr>
        <w:t>师资水平情况，可作为教育质量类指标。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教师比例=某一级教育</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教师数/该级教育</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r>
        <w:rPr>
          <w:rFonts w:hint="eastAsia"/>
          <w:color w:val="000000" w:themeColor="text1"/>
          <w14:textFill>
            <w14:solidFill>
              <w14:schemeClr w14:val="tx1"/>
            </w14:solidFill>
          </w14:textFill>
        </w:rPr>
        <w:t>越</w:t>
      </w:r>
      <w:r>
        <w:rPr>
          <w:color w:val="000000" w:themeColor="text1"/>
          <w14:textFill>
            <w14:solidFill>
              <w14:schemeClr w14:val="tx1"/>
            </w14:solidFill>
          </w14:textFill>
        </w:rPr>
        <w:t>高，说明职业教育中拥有更多具有行业能力</w:t>
      </w:r>
      <w:r>
        <w:rPr>
          <w:rFonts w:hint="eastAsia"/>
          <w:color w:val="000000" w:themeColor="text1"/>
          <w14:textFill>
            <w14:solidFill>
              <w14:schemeClr w14:val="tx1"/>
            </w14:solidFill>
          </w14:textFill>
        </w:rPr>
        <w:t>资格</w:t>
      </w:r>
      <w:r>
        <w:rPr>
          <w:color w:val="000000" w:themeColor="text1"/>
          <w14:textFill>
            <w14:solidFill>
              <w14:schemeClr w14:val="tx1"/>
            </w14:solidFill>
          </w14:textFill>
        </w:rPr>
        <w:t>的教师，体现更高的师资水平，有助于</w:t>
      </w:r>
      <w:r>
        <w:rPr>
          <w:rFonts w:hint="eastAsia"/>
          <w:color w:val="000000" w:themeColor="text1"/>
          <w14:textFill>
            <w14:solidFill>
              <w14:schemeClr w14:val="tx1"/>
            </w14:solidFill>
          </w14:textFill>
        </w:rPr>
        <w:t>提高教育质量和</w:t>
      </w:r>
      <w:r>
        <w:rPr>
          <w:color w:val="000000" w:themeColor="text1"/>
          <w14:textFill>
            <w14:solidFill>
              <w14:schemeClr w14:val="tx1"/>
            </w14:solidFill>
          </w14:textFill>
        </w:rPr>
        <w:t>对学生职业技能的培养。</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反映职业教育中“</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教师的相对规模，</w:t>
      </w:r>
      <w:r>
        <w:rPr>
          <w:rFonts w:hint="eastAsia"/>
          <w:color w:val="000000" w:themeColor="text1"/>
          <w14:textFill>
            <w14:solidFill>
              <w14:schemeClr w14:val="tx1"/>
            </w14:solidFill>
          </w14:textFill>
        </w:rPr>
        <w:t>只说明职业教育教师业务能力的一个方面，</w:t>
      </w:r>
      <w:r>
        <w:rPr>
          <w:color w:val="000000" w:themeColor="text1"/>
          <w14:textFill>
            <w14:solidFill>
              <w14:schemeClr w14:val="tx1"/>
            </w14:solidFill>
          </w14:textFill>
        </w:rPr>
        <w:t>教师的行业能力资格水平、企业工作经验的多少、教学能力等都可能影响学生职业能力的培养。</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（1）中等职业学校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教师数/中等职业学校</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高职（专科）院校“</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教师比例（%）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w:t>
      </w:r>
      <w:r>
        <w:rPr>
          <w:color w:val="000000" w:themeColor="text1"/>
          <w14:textFill>
            <w14:solidFill>
              <w14:schemeClr w14:val="tx1"/>
            </w14:solidFill>
          </w14:textFill>
        </w:rPr>
        <w:t>双师型</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教师数/</w:t>
      </w:r>
      <w:r>
        <w:rPr>
          <w:rFonts w:hint="eastAsia"/>
          <w:color w:val="000000" w:themeColor="text1"/>
          <w14:textFill>
            <w14:solidFill>
              <w14:schemeClr w14:val="tx1"/>
            </w14:solidFill>
          </w14:textFill>
        </w:rPr>
        <w:t>高职（专科）院校专任</w:t>
      </w:r>
      <w:r>
        <w:rPr>
          <w:color w:val="000000" w:themeColor="text1"/>
          <w14:textFill>
            <w14:solidFill>
              <w14:schemeClr w14:val="tx1"/>
            </w14:solidFill>
          </w14:textFill>
        </w:rPr>
        <w:t>教师总数*100%</w:t>
      </w:r>
    </w:p>
    <w:p>
      <w:pPr>
        <w:pStyle w:val="3"/>
        <w:rPr>
          <w:color w:val="000000" w:themeColor="text1"/>
          <w14:textFill>
            <w14:solidFill>
              <w14:schemeClr w14:val="tx1"/>
            </w14:solidFill>
          </w14:textFill>
        </w:rPr>
      </w:pPr>
      <w:bookmarkStart w:id="142" w:name="_Toc59961164"/>
      <w:bookmarkStart w:id="143" w:name="_Toc398192923"/>
      <w:r>
        <w:rPr>
          <w:color w:val="000000" w:themeColor="text1"/>
          <w14:textFill>
            <w14:solidFill>
              <w14:schemeClr w14:val="tx1"/>
            </w14:solidFill>
          </w14:textFill>
        </w:rPr>
        <w:t>60. 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学位的专任教师比例（%）</w:t>
      </w:r>
      <w:bookmarkEnd w:id="142"/>
      <w:bookmarkEnd w:id="14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学位的专任教师数占普通高校专任教师总数的百分比。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该指标可以反映普通高校教师的质量情况，可作为教育质量类指标。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学位的专任教师比例=普通高校具有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学位的专任教师数/普通高校专任教师总数*100%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学位类别；分层次；分办别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硕士及以上</w:t>
      </w:r>
      <w:r>
        <w:rPr>
          <w:color w:val="000000" w:themeColor="text1"/>
          <w14:textFill>
            <w14:solidFill>
              <w14:schemeClr w14:val="tx1"/>
            </w14:solidFill>
          </w14:textFill>
        </w:rPr>
        <w:t>学位</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专任教师比例高，说明教师总体质量水平高</w:t>
      </w:r>
      <w:r>
        <w:rPr>
          <w:rFonts w:hint="eastAsia"/>
          <w:color w:val="000000" w:themeColor="text1"/>
          <w14:textFill>
            <w14:solidFill>
              <w14:schemeClr w14:val="tx1"/>
            </w14:solidFill>
          </w14:textFill>
        </w:rPr>
        <w:t>，有助于提高教育质量</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教师学位并不是影响教师教学效果的唯一因素，该指标只能作为反映高校教师质量的一个参照指标。</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高职（专科）院校具有硕士及以上学位的专任教师比例（%）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=高职（专科）院校具有硕士及以上学位的专任教师数/高职（专科）院校专任教师总数*100%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普通本科院校具有硕士及以上学位的专任教师比例（%）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具有硕士及以上学位的专任教师数/普通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普通高校具有博士学位的专任教师比例（%）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=普通高校具有</w:t>
      </w:r>
      <w:r>
        <w:rPr>
          <w:rFonts w:hint="eastAsia"/>
          <w:color w:val="000000" w:themeColor="text1"/>
          <w14:textFill>
            <w14:solidFill>
              <w14:schemeClr w14:val="tx1"/>
            </w14:solidFill>
          </w14:textFill>
        </w:rPr>
        <w:t>博士</w:t>
      </w:r>
      <w:r>
        <w:rPr>
          <w:color w:val="000000" w:themeColor="text1"/>
          <w14:textFill>
            <w14:solidFill>
              <w14:schemeClr w14:val="tx1"/>
            </w14:solidFill>
          </w14:textFill>
        </w:rPr>
        <w:t>学位的专任教师数/普通高校专任教师总数*100%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高职（专科）院校具有博士学位的专任教师比例（%）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=高职（专科）院校具有</w:t>
      </w:r>
      <w:r>
        <w:rPr>
          <w:rFonts w:hint="eastAsia"/>
          <w:color w:val="000000" w:themeColor="text1"/>
          <w14:textFill>
            <w14:solidFill>
              <w14:schemeClr w14:val="tx1"/>
            </w14:solidFill>
          </w14:textFill>
        </w:rPr>
        <w:t>博士</w:t>
      </w:r>
      <w:r>
        <w:rPr>
          <w:color w:val="000000" w:themeColor="text1"/>
          <w14:textFill>
            <w14:solidFill>
              <w14:schemeClr w14:val="tx1"/>
            </w14:solidFill>
          </w14:textFill>
        </w:rPr>
        <w:t>学位的专任教师数/高职（专科）院校专任教师总数*100%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普通本科院校具有博士学位的专任教师比例（%）</w:t>
      </w:r>
    </w:p>
    <w:p>
      <w:pPr>
        <w:rPr>
          <w:color w:val="000000" w:themeColor="text1"/>
          <w14:textFill>
            <w14:solidFill>
              <w14:schemeClr w14:val="tx1"/>
            </w14:solidFill>
          </w14:textFill>
        </w:rPr>
      </w:pP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具有</w:t>
      </w:r>
      <w:r>
        <w:rPr>
          <w:rFonts w:hint="eastAsia"/>
          <w:color w:val="000000" w:themeColor="text1"/>
          <w14:textFill>
            <w14:solidFill>
              <w14:schemeClr w14:val="tx1"/>
            </w14:solidFill>
          </w14:textFill>
        </w:rPr>
        <w:t>博士</w:t>
      </w:r>
      <w:r>
        <w:rPr>
          <w:color w:val="000000" w:themeColor="text1"/>
          <w14:textFill>
            <w14:solidFill>
              <w14:schemeClr w14:val="tx1"/>
            </w14:solidFill>
          </w14:textFill>
        </w:rPr>
        <w:t>学位的专任教师数/普通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专任教师总数*100%</w:t>
      </w:r>
    </w:p>
    <w:bookmarkEnd w:id="141"/>
    <w:p>
      <w:pPr>
        <w:pStyle w:val="3"/>
        <w:rPr>
          <w:color w:val="000000" w:themeColor="text1"/>
          <w14:textFill>
            <w14:solidFill>
              <w14:schemeClr w14:val="tx1"/>
            </w14:solidFill>
          </w14:textFill>
        </w:rPr>
      </w:pPr>
      <w:bookmarkStart w:id="144" w:name="_Toc59961165"/>
      <w:bookmarkStart w:id="145" w:name="_Toc398192927"/>
      <w:bookmarkStart w:id="146" w:name="_Toc398192926"/>
      <w:r>
        <w:rPr>
          <w:rFonts w:ascii="Arial" w:hAnsi="Arial" w:eastAsia="宋体" w:cs="Arial"/>
          <w:color w:val="000000" w:themeColor="text1"/>
          <w:szCs w:val="21"/>
          <w14:textFill>
            <w14:solidFill>
              <w14:schemeClr w14:val="tx1"/>
            </w14:solidFill>
          </w14:textFill>
        </w:rPr>
        <w:t xml:space="preserve">61. </w:t>
      </w:r>
      <w:r>
        <w:rPr>
          <w:rFonts w:hint="eastAsia" w:ascii="Arial" w:hAnsi="Arial" w:eastAsia="宋体" w:cs="Arial"/>
          <w:color w:val="000000" w:themeColor="text1"/>
          <w:szCs w:val="21"/>
          <w14:textFill>
            <w14:solidFill>
              <w14:schemeClr w14:val="tx1"/>
            </w14:solidFill>
          </w14:textFill>
        </w:rPr>
        <w:t>普通高校</w:t>
      </w:r>
      <w:r>
        <w:rPr>
          <w:rFonts w:hint="eastAsia"/>
          <w:color w:val="000000" w:themeColor="text1"/>
          <w14:textFill>
            <w14:solidFill>
              <w14:schemeClr w14:val="tx1"/>
            </w14:solidFill>
          </w14:textFill>
        </w:rPr>
        <w:t>为本科生上课的教授比例（%）</w:t>
      </w:r>
      <w:bookmarkEnd w:id="144"/>
    </w:p>
    <w:p>
      <w:pPr>
        <w:ind w:firstLine="482"/>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ascii="宋体" w:hAnsi="宋体"/>
          <w:color w:val="000000" w:themeColor="text1"/>
          <w14:textFill>
            <w14:solidFill>
              <w14:schemeClr w14:val="tx1"/>
            </w14:solidFill>
          </w14:textFill>
        </w:rPr>
        <w:t>普通高校为本科生上课的教授比例，是指上学年承担本科课程的教授（及其他正高级职称）数占上学年教授（及其他正高级职称）总数的百分比。</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该指标可用于监测和评价本科培养质量，是反映高等教育质量的重要指标。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ascii="宋体" w:hAnsi="宋体"/>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为本科生上课的教授比例=上学年承担本科课程的教授（及其他正高级职称）数量/上学年教授（及其他正高级职称）总数*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分学校类型；分层次；分办别</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教授为本科授课是深化本科教育教学改革，全面提高人才培养质量的重要举措。该比例高说明更多高级职称教师承担了本科教学工作，有助于提升本科教育质量，提示教育教学业绩在教师考核评价制度中占有更大权重。</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主要体现教授为本科生上课的相对比例情况，不能完全反映本科生培养质量，其他一些因素，例如教授的教学经验、专业背景、教学方法等都会对教育教学质量产生影响。此外，教授为本科生上课的课时数也会影响教育教学质量，但课时数若过高，也可能影响高校教授的科研工作。</w:t>
      </w:r>
    </w:p>
    <w:p>
      <w:pPr>
        <w:pStyle w:val="3"/>
        <w:rPr>
          <w:color w:val="000000" w:themeColor="text1"/>
          <w14:textFill>
            <w14:solidFill>
              <w14:schemeClr w14:val="tx1"/>
            </w14:solidFill>
          </w14:textFill>
        </w:rPr>
      </w:pPr>
      <w:bookmarkStart w:id="147" w:name="_Toc59961166"/>
      <w:r>
        <w:rPr>
          <w:color w:val="000000" w:themeColor="text1"/>
          <w14:textFill>
            <w14:solidFill>
              <w14:schemeClr w14:val="tx1"/>
            </w14:solidFill>
          </w14:textFill>
        </w:rPr>
        <w:t>62. 普通高校学生与专职</w:t>
      </w:r>
      <w:r>
        <w:rPr>
          <w:rFonts w:hint="eastAsia"/>
          <w:color w:val="000000" w:themeColor="text1"/>
          <w14:textFill>
            <w14:solidFill>
              <w14:schemeClr w14:val="tx1"/>
            </w14:solidFill>
          </w14:textFill>
        </w:rPr>
        <w:t>辅导</w:t>
      </w:r>
      <w:r>
        <w:rPr>
          <w:color w:val="000000" w:themeColor="text1"/>
          <w14:textFill>
            <w14:solidFill>
              <w14:schemeClr w14:val="tx1"/>
            </w14:solidFill>
          </w14:textFill>
        </w:rPr>
        <w:t>员</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比</w:t>
      </w:r>
      <w:bookmarkEnd w:id="145"/>
      <w:bookmarkEnd w:id="14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color w:val="000000" w:themeColor="text1"/>
          <w14:textFill>
            <w14:solidFill>
              <w14:schemeClr w14:val="tx1"/>
            </w14:solidFill>
          </w14:textFill>
        </w:rPr>
        <w:t>普通高校学生与专职辅导员</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是指普通高校</w:t>
      </w:r>
      <w:r>
        <w:rPr>
          <w:rFonts w:hint="eastAsia"/>
          <w:color w:val="000000" w:themeColor="text1"/>
          <w14:textFill>
            <w14:solidFill>
              <w14:schemeClr w14:val="tx1"/>
            </w14:solidFill>
          </w14:textFill>
        </w:rPr>
        <w:t>普通本专科与研究生在校生合计数</w:t>
      </w:r>
      <w:r>
        <w:rPr>
          <w:color w:val="000000" w:themeColor="text1"/>
          <w14:textFill>
            <w14:solidFill>
              <w14:schemeClr w14:val="tx1"/>
            </w14:solidFill>
          </w14:textFill>
        </w:rPr>
        <w:t>与普通高校专职辅导员</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数之比。</w:t>
      </w:r>
      <w:r>
        <w:rPr>
          <w:rFonts w:hint="eastAsia"/>
          <w:color w:val="000000" w:themeColor="text1"/>
          <w14:textFill>
            <w14:solidFill>
              <w14:schemeClr w14:val="tx1"/>
            </w14:solidFill>
          </w14:textFill>
        </w:rPr>
        <w:t>普通高校辅导员包括专职辅导员和兼职辅导员两类，</w:t>
      </w:r>
      <w:r>
        <w:rPr>
          <w:color w:val="000000" w:themeColor="text1"/>
          <w14:textFill>
            <w14:solidFill>
              <w14:schemeClr w14:val="tx1"/>
            </w14:solidFill>
          </w14:textFill>
        </w:rPr>
        <w:t>专职辅导员是指在高等教育学校（机构）</w:t>
      </w:r>
      <w:r>
        <w:rPr>
          <w:rFonts w:hint="eastAsia"/>
          <w:color w:val="000000" w:themeColor="text1"/>
          <w14:textFill>
            <w14:solidFill>
              <w14:schemeClr w14:val="tx1"/>
            </w14:solidFill>
          </w14:textFill>
        </w:rPr>
        <w:t>院（系）专职</w:t>
      </w:r>
      <w:r>
        <w:rPr>
          <w:color w:val="000000" w:themeColor="text1"/>
          <w14:textFill>
            <w14:solidFill>
              <w14:schemeClr w14:val="tx1"/>
            </w14:solidFill>
          </w14:textFill>
        </w:rPr>
        <w:t>从事</w:t>
      </w:r>
      <w:r>
        <w:rPr>
          <w:rFonts w:hint="eastAsia"/>
          <w:color w:val="000000" w:themeColor="text1"/>
          <w14:textFill>
            <w14:solidFill>
              <w14:schemeClr w14:val="tx1"/>
            </w14:solidFill>
          </w14:textFill>
        </w:rPr>
        <w:t>大</w:t>
      </w:r>
      <w:r>
        <w:rPr>
          <w:color w:val="000000" w:themeColor="text1"/>
          <w14:textFill>
            <w14:solidFill>
              <w14:schemeClr w14:val="tx1"/>
            </w14:solidFill>
          </w14:textFill>
        </w:rPr>
        <w:t>学生日常思想政治教育工作的人员，包括院</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系</w:t>
      </w:r>
      <w:r>
        <w:rPr>
          <w:rFonts w:hint="eastAsia"/>
          <w:color w:val="000000" w:themeColor="text1"/>
          <w14:textFill>
            <w14:solidFill>
              <w14:schemeClr w14:val="tx1"/>
            </w14:solidFill>
          </w14:textFill>
        </w:rPr>
        <w:t>）党委（党支部）副书记、</w:t>
      </w:r>
      <w:r>
        <w:rPr>
          <w:color w:val="000000" w:themeColor="text1"/>
          <w14:textFill>
            <w14:solidFill>
              <w14:schemeClr w14:val="tx1"/>
            </w14:solidFill>
          </w14:textFill>
        </w:rPr>
        <w:t>学工组长、</w:t>
      </w:r>
      <w:r>
        <w:rPr>
          <w:rFonts w:hint="eastAsia"/>
          <w:color w:val="000000" w:themeColor="text1"/>
          <w14:textFill>
            <w14:solidFill>
              <w14:schemeClr w14:val="tx1"/>
            </w14:solidFill>
          </w14:textFill>
        </w:rPr>
        <w:t>团委（</w:t>
      </w:r>
      <w:r>
        <w:rPr>
          <w:color w:val="000000" w:themeColor="text1"/>
          <w14:textFill>
            <w14:solidFill>
              <w14:schemeClr w14:val="tx1"/>
            </w14:solidFill>
          </w14:textFill>
        </w:rPr>
        <w:t>团总支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书记等</w:t>
      </w:r>
      <w:r>
        <w:rPr>
          <w:rFonts w:hint="eastAsia"/>
          <w:color w:val="000000" w:themeColor="text1"/>
          <w14:textFill>
            <w14:solidFill>
              <w14:schemeClr w14:val="tx1"/>
            </w14:solidFill>
          </w14:textFill>
        </w:rPr>
        <w:t>专职</w:t>
      </w:r>
      <w:r>
        <w:rPr>
          <w:color w:val="000000" w:themeColor="text1"/>
          <w14:textFill>
            <w14:solidFill>
              <w14:schemeClr w14:val="tx1"/>
            </w14:solidFill>
          </w14:textFill>
        </w:rPr>
        <w:t>工作人员</w:t>
      </w:r>
      <w:r>
        <w:rPr>
          <w:rFonts w:hint="eastAsia"/>
          <w:color w:val="000000" w:themeColor="text1"/>
          <w14:textFill>
            <w14:solidFill>
              <w14:schemeClr w14:val="tx1"/>
            </w14:solidFill>
          </w14:textFill>
        </w:rPr>
        <w:t>；高等学校可以从优秀专任教师、管理人员、研究生中选聘一定数量兼职辅导员，兼职辅导员工作量按专职辅导员工作量的三分之一核定。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该指标可反映普通高校专职辅导员队伍配备的充足程度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普通高校学生与专职辅导员</w:t>
      </w:r>
      <w:r>
        <w:rPr>
          <w:rFonts w:hint="eastAsia"/>
          <w:color w:val="000000" w:themeColor="text1"/>
          <w14:textFill>
            <w14:solidFill>
              <w14:schemeClr w14:val="tx1"/>
            </w14:solidFill>
          </w14:textFill>
        </w:rPr>
        <w:t>总数</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（普通高校普通本专科在校生数+普通高校研究生在校生数）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普通高校专职辅导员</w:t>
      </w:r>
      <w:r>
        <w:rPr>
          <w:rFonts w:hint="eastAsia"/>
          <w:color w:val="000000" w:themeColor="text1"/>
          <w14:textFill>
            <w14:solidFill>
              <w14:schemeClr w14:val="tx1"/>
            </w14:solidFill>
          </w14:textFill>
        </w:rPr>
        <w:t>数+兼职辅导员数/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该指标值高，表明高校中每位辅导员对应的学生数量多，辅导员师资队伍不够充足，根据</w:t>
      </w:r>
      <w:r>
        <w:rPr>
          <w:rFonts w:hint="eastAsia"/>
          <w:color w:val="000000" w:themeColor="text1"/>
          <w14:textFill>
            <w14:solidFill>
              <w14:schemeClr w14:val="tx1"/>
            </w14:solidFill>
          </w14:textFill>
        </w:rPr>
        <w:t>现行</w:t>
      </w:r>
      <w:r>
        <w:rPr>
          <w:color w:val="000000" w:themeColor="text1"/>
          <w14:textFill>
            <w14:solidFill>
              <w14:schemeClr w14:val="tx1"/>
            </w14:solidFill>
          </w14:textFill>
        </w:rPr>
        <w:t>规定</w:t>
      </w:r>
      <w:r>
        <w:rPr>
          <w:rStyle w:val="36"/>
          <w:color w:val="000000" w:themeColor="text1"/>
          <w14:textFill>
            <w14:solidFill>
              <w14:schemeClr w14:val="tx1"/>
            </w14:solidFill>
          </w14:textFill>
        </w:rPr>
        <w:footnoteReference w:id="4"/>
      </w:r>
      <w:r>
        <w:rPr>
          <w:color w:val="000000" w:themeColor="text1"/>
          <w14:textFill>
            <w14:solidFill>
              <w14:schemeClr w14:val="tx1"/>
            </w14:solidFill>
          </w14:textFill>
        </w:rPr>
        <w:t>，普通高校学生与专职辅导员</w:t>
      </w:r>
      <w:r>
        <w:rPr>
          <w:rFonts w:hint="eastAsia"/>
          <w:color w:val="000000" w:themeColor="text1"/>
          <w14:textFill>
            <w14:solidFill>
              <w14:schemeClr w14:val="tx1"/>
            </w14:solidFill>
          </w14:textFill>
        </w:rPr>
        <w:t>岗位</w:t>
      </w:r>
      <w:r>
        <w:rPr>
          <w:color w:val="000000" w:themeColor="text1"/>
          <w14:textFill>
            <w14:solidFill>
              <w14:schemeClr w14:val="tx1"/>
            </w14:solidFill>
          </w14:textFill>
        </w:rPr>
        <w:t>比不能超过200:1。</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该指标主要反映专职辅导员队伍数量的充足情况，</w:t>
      </w:r>
      <w:r>
        <w:rPr>
          <w:rFonts w:hint="eastAsia"/>
          <w:color w:val="000000" w:themeColor="text1"/>
          <w14:textFill>
            <w14:solidFill>
              <w14:schemeClr w14:val="tx1"/>
            </w14:solidFill>
          </w14:textFill>
        </w:rPr>
        <w:t>不能体现</w:t>
      </w:r>
      <w:r>
        <w:rPr>
          <w:color w:val="000000" w:themeColor="text1"/>
          <w14:textFill>
            <w14:solidFill>
              <w14:schemeClr w14:val="tx1"/>
            </w14:solidFill>
          </w14:textFill>
        </w:rPr>
        <w:t>辅导员自身素质、专业水平等对学生思想政治教育效果的影响。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普通本科院校学生与专职辅导员总数比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本科院校普通本专科在</w:t>
      </w:r>
      <w:r>
        <w:rPr>
          <w:color w:val="000000" w:themeColor="text1"/>
          <w14:textFill>
            <w14:solidFill>
              <w14:schemeClr w14:val="tx1"/>
            </w14:solidFill>
          </w14:textFill>
        </w:rPr>
        <w:t>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本科院校研究生在校生数）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w:t>
      </w:r>
      <w:r>
        <w:rPr>
          <w:color w:val="000000" w:themeColor="text1"/>
          <w14:textFill>
            <w14:solidFill>
              <w14:schemeClr w14:val="tx1"/>
            </w14:solidFill>
          </w14:textFill>
        </w:rPr>
        <w:t>专职辅导员数</w:t>
      </w:r>
      <w:r>
        <w:rPr>
          <w:rFonts w:hint="eastAsia"/>
          <w:color w:val="000000" w:themeColor="text1"/>
          <w14:textFill>
            <w14:solidFill>
              <w14:schemeClr w14:val="tx1"/>
            </w14:solidFill>
          </w14:textFill>
        </w:rPr>
        <w:t>+普通本科院校兼职辅导员数/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高职（专科）院校学生与专职辅导员总数比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w:t>
      </w:r>
      <w:r>
        <w:rPr>
          <w:rFonts w:hint="eastAsia"/>
          <w:color w:val="000000" w:themeColor="text1"/>
          <w14:textFill>
            <w14:solidFill>
              <w14:schemeClr w14:val="tx1"/>
            </w14:solidFill>
          </w14:textFill>
        </w:rPr>
        <w:t>普通本专科在</w:t>
      </w:r>
      <w:r>
        <w:rPr>
          <w:color w:val="000000" w:themeColor="text1"/>
          <w14:textFill>
            <w14:solidFill>
              <w14:schemeClr w14:val="tx1"/>
            </w14:solidFill>
          </w14:textFill>
        </w:rPr>
        <w:t xml:space="preserve">校生数/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高职（专科）院校专职辅导员数</w:t>
      </w:r>
      <w:r>
        <w:rPr>
          <w:rFonts w:hint="eastAsia"/>
          <w:color w:val="000000" w:themeColor="text1"/>
          <w14:textFill>
            <w14:solidFill>
              <w14:schemeClr w14:val="tx1"/>
            </w14:solidFill>
          </w14:textFill>
        </w:rPr>
        <w:t>+高职（专科）院校兼职辅导员数/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148" w:name="_Toc398192928"/>
      <w:bookmarkStart w:id="149" w:name="_Toc59961167"/>
      <w:r>
        <w:rPr>
          <w:color w:val="000000" w:themeColor="text1"/>
          <w14:textFill>
            <w14:solidFill>
              <w14:schemeClr w14:val="tx1"/>
            </w14:solidFill>
          </w14:textFill>
        </w:rPr>
        <w:t>63. 普通高校学生与心理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比</w:t>
      </w:r>
      <w:bookmarkEnd w:id="148"/>
      <w:bookmarkEnd w:id="14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普通高校学生与心理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普通本专科与研究生在校生合计</w:t>
      </w:r>
      <w:r>
        <w:rPr>
          <w:color w:val="000000" w:themeColor="text1"/>
          <w14:textFill>
            <w14:solidFill>
              <w14:schemeClr w14:val="tx1"/>
            </w14:solidFill>
          </w14:textFill>
        </w:rPr>
        <w:t>数与普通高校心理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数之比。心理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是指在高等教育学校（机构）专门的心理健康教育机构专职从事学生心理咨询工作的人员。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w:t>
      </w:r>
      <w:r>
        <w:rPr>
          <w:color w:val="000000" w:themeColor="text1"/>
          <w14:textFill>
            <w14:solidFill>
              <w14:schemeClr w14:val="tx1"/>
            </w14:solidFill>
          </w14:textFill>
        </w:rPr>
        <w:t>反映普通高校心理</w:t>
      </w:r>
      <w:r>
        <w:rPr>
          <w:rFonts w:hint="eastAsia"/>
          <w:color w:val="000000" w:themeColor="text1"/>
          <w14:textFill>
            <w14:solidFill>
              <w14:schemeClr w14:val="tx1"/>
            </w14:solidFill>
          </w14:textFill>
        </w:rPr>
        <w:t>健康教育专职工作人员</w:t>
      </w:r>
      <w:r>
        <w:rPr>
          <w:color w:val="000000" w:themeColor="text1"/>
          <w14:textFill>
            <w14:solidFill>
              <w14:schemeClr w14:val="tx1"/>
            </w14:solidFill>
          </w14:textFill>
        </w:rPr>
        <w:t>的充足程度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w:t>
      </w:r>
      <w:r>
        <w:rPr>
          <w:rFonts w:hint="eastAsia"/>
          <w:color w:val="000000" w:themeColor="text1"/>
          <w14:textFill>
            <w14:solidFill>
              <w14:schemeClr w14:val="tx1"/>
            </w14:solidFill>
          </w14:textFill>
        </w:rPr>
        <w:t>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普通高校学生与心理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（普通高校普通本专科在校生数+普通高校研究生在校生数）</w:t>
      </w:r>
      <w:r>
        <w:rPr>
          <w:color w:val="000000" w:themeColor="text1"/>
          <w14:textFill>
            <w14:solidFill>
              <w14:schemeClr w14:val="tx1"/>
            </w14:solidFill>
          </w14:textFill>
        </w:rPr>
        <w:t>/普通高校心理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类型；分层次；分办别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该指标值越高，表明</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高校中每</w:t>
      </w:r>
      <w:r>
        <w:rPr>
          <w:rFonts w:hint="eastAsia"/>
          <w:color w:val="000000" w:themeColor="text1"/>
          <w14:textFill>
            <w14:solidFill>
              <w14:schemeClr w14:val="tx1"/>
            </w14:solidFill>
          </w14:textFill>
        </w:rPr>
        <w:t>位</w:t>
      </w:r>
      <w:r>
        <w:rPr>
          <w:color w:val="000000" w:themeColor="text1"/>
          <w14:textFill>
            <w14:solidFill>
              <w14:schemeClr w14:val="tx1"/>
            </w14:solidFill>
          </w14:textFill>
        </w:rPr>
        <w:t>专职心理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对应的学生数量越多，心理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队伍相对薄弱。根据现行标准</w:t>
      </w:r>
      <w:r>
        <w:rPr>
          <w:rStyle w:val="36"/>
          <w:color w:val="000000" w:themeColor="text1"/>
          <w14:textFill>
            <w14:solidFill>
              <w14:schemeClr w14:val="tx1"/>
            </w14:solidFill>
          </w14:textFill>
        </w:rPr>
        <w:footnoteReference w:id="5"/>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高校应按学生数的一定比例配备专职从事大学生心理健康教育的教师，每校配备专职教师的人数不得少于2名。</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该指标主要反映普通高校心理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数量的充足情况，不能体现心理</w:t>
      </w:r>
      <w:r>
        <w:rPr>
          <w:rFonts w:hint="eastAsia"/>
          <w:color w:val="000000" w:themeColor="text1"/>
          <w14:textFill>
            <w14:solidFill>
              <w14:schemeClr w14:val="tx1"/>
            </w14:solidFill>
          </w14:textFill>
        </w:rPr>
        <w:t>健康教育专职教师</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业务</w:t>
      </w:r>
      <w:r>
        <w:rPr>
          <w:color w:val="000000" w:themeColor="text1"/>
          <w14:textFill>
            <w14:solidFill>
              <w14:schemeClr w14:val="tx1"/>
            </w14:solidFill>
          </w14:textFill>
        </w:rPr>
        <w:t>素质对心理咨询效果的影响。</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普通本科院校学生与心理健康教育专职教师比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本科院校普通本专科</w:t>
      </w:r>
      <w:r>
        <w:rPr>
          <w:color w:val="000000" w:themeColor="text1"/>
          <w14:textFill>
            <w14:solidFill>
              <w14:schemeClr w14:val="tx1"/>
            </w14:solidFill>
          </w14:textFill>
        </w:rPr>
        <w:t>校生数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本科院校研究生在校生数）</w:t>
      </w:r>
      <w:r>
        <w:rPr>
          <w:color w:val="000000" w:themeColor="text1"/>
          <w14:textFill>
            <w14:solidFill>
              <w14:schemeClr w14:val="tx1"/>
            </w14:solidFill>
          </w14:textFill>
        </w:rPr>
        <w:t>/普通</w:t>
      </w:r>
      <w:r>
        <w:rPr>
          <w:rFonts w:hint="eastAsia"/>
          <w:color w:val="000000" w:themeColor="text1"/>
          <w14:textFill>
            <w14:solidFill>
              <w14:schemeClr w14:val="tx1"/>
            </w14:solidFill>
          </w14:textFill>
        </w:rPr>
        <w:t>本科院校心理健康教育专职教师总数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高职（专科）院校学生与心理健康教育专职教师比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高职（专科）院校</w:t>
      </w:r>
      <w:r>
        <w:rPr>
          <w:rFonts w:hint="eastAsia"/>
          <w:color w:val="000000" w:themeColor="text1"/>
          <w14:textFill>
            <w14:solidFill>
              <w14:schemeClr w14:val="tx1"/>
            </w14:solidFill>
          </w14:textFill>
        </w:rPr>
        <w:t>普通本专科</w:t>
      </w:r>
      <w:r>
        <w:rPr>
          <w:color w:val="000000" w:themeColor="text1"/>
          <w14:textFill>
            <w14:solidFill>
              <w14:schemeClr w14:val="tx1"/>
            </w14:solidFill>
          </w14:textFill>
        </w:rPr>
        <w:t>校生数/高职（专科）院校</w:t>
      </w:r>
      <w:r>
        <w:rPr>
          <w:rFonts w:hint="eastAsia"/>
          <w:color w:val="000000" w:themeColor="text1"/>
          <w14:textFill>
            <w14:solidFill>
              <w14:schemeClr w14:val="tx1"/>
            </w14:solidFill>
          </w14:textFill>
        </w:rPr>
        <w:t>心理健康教育专职教师总数</w:t>
      </w:r>
    </w:p>
    <w:p>
      <w:pPr>
        <w:pStyle w:val="3"/>
        <w:rPr>
          <w:color w:val="000000" w:themeColor="text1"/>
          <w14:textFill>
            <w14:solidFill>
              <w14:schemeClr w14:val="tx1"/>
            </w14:solidFill>
          </w14:textFill>
        </w:rPr>
      </w:pPr>
      <w:bookmarkStart w:id="150" w:name="_Toc59961168"/>
      <w:bookmarkStart w:id="151" w:name="_Toc398192925"/>
      <w:r>
        <w:rPr>
          <w:color w:val="000000" w:themeColor="text1"/>
          <w14:textFill>
            <w14:solidFill>
              <w14:schemeClr w14:val="tx1"/>
            </w14:solidFill>
          </w14:textFill>
        </w:rPr>
        <w:t>64. 普通高校聘请教师与校本部专任教师比</w:t>
      </w:r>
      <w:bookmarkEnd w:id="150"/>
      <w:bookmarkEnd w:id="15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教师与校本部专任教师比，是指普通高校聘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校外教师</w:t>
      </w:r>
      <w:r>
        <w:rPr>
          <w:rFonts w:hint="eastAsia"/>
          <w:color w:val="000000" w:themeColor="text1"/>
          <w14:textFill>
            <w14:solidFill>
              <w14:schemeClr w14:val="tx1"/>
            </w14:solidFill>
          </w14:textFill>
        </w:rPr>
        <w:t>及临床教师数</w:t>
      </w:r>
      <w:r>
        <w:rPr>
          <w:color w:val="000000" w:themeColor="text1"/>
          <w14:textFill>
            <w14:solidFill>
              <w14:schemeClr w14:val="tx1"/>
            </w14:solidFill>
          </w14:textFill>
        </w:rPr>
        <w:t>与普通高校校本部专任教师总数之比。聘请校外教师是指学校聘请的国内外其他高校及科研机构的教师和退休教师（含本校退休教师）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聘期为一学期及以上</w:t>
      </w:r>
      <w:r>
        <w:rPr>
          <w:rFonts w:hint="eastAsia"/>
          <w:color w:val="000000" w:themeColor="text1"/>
          <w14:textFill>
            <w14:solidFill>
              <w14:schemeClr w14:val="tx1"/>
            </w14:solidFill>
          </w14:textFill>
        </w:rPr>
        <w:t>；临床教师是指学校附属医院中，具有副高级及以上专业技术职务并承担教学任务的临床医务工作者。</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该指标可反映普通高校</w:t>
      </w:r>
      <w:r>
        <w:rPr>
          <w:rFonts w:hint="eastAsia"/>
          <w:color w:val="000000" w:themeColor="text1"/>
          <w14:textFill>
            <w14:solidFill>
              <w14:schemeClr w14:val="tx1"/>
            </w14:solidFill>
          </w14:textFill>
        </w:rPr>
        <w:t>外聘</w:t>
      </w:r>
      <w:r>
        <w:rPr>
          <w:color w:val="000000" w:themeColor="text1"/>
          <w14:textFill>
            <w14:solidFill>
              <w14:schemeClr w14:val="tx1"/>
            </w14:solidFill>
          </w14:textFill>
        </w:rPr>
        <w:t>师资情况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普通高校聘请教师与本校专任教师比=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普通高校聘请校外教师数</w:t>
      </w:r>
      <w:r>
        <w:rPr>
          <w:rFonts w:hint="eastAsia"/>
          <w:color w:val="000000" w:themeColor="text1"/>
          <w14:textFill>
            <w14:solidFill>
              <w14:schemeClr w14:val="tx1"/>
            </w14:solidFill>
          </w14:textFill>
        </w:rPr>
        <w:t>+临床教师数）</w:t>
      </w:r>
      <w:r>
        <w:rPr>
          <w:color w:val="000000" w:themeColor="text1"/>
          <w14:textFill>
            <w14:solidFill>
              <w14:schemeClr w14:val="tx1"/>
            </w14:solidFill>
          </w14:textFill>
        </w:rPr>
        <w:t>/ 普通高校校本部专任教师数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该指标值越大说明高校聘请的教师越多，原则上</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聘请校外教师不超过校本部专任教师总数的四分之一。</w:t>
      </w:r>
    </w:p>
    <w:p>
      <w:pPr>
        <w:ind w:firstLine="482"/>
        <w:rPr>
          <w:color w:val="000000" w:themeColor="text1"/>
          <w14:textFill>
            <w14:solidFill>
              <w14:schemeClr w14:val="tx1"/>
            </w14:solidFill>
          </w14:textFill>
        </w:rPr>
      </w:pPr>
      <w:r>
        <w:rPr>
          <w:rFonts w:ascii="黑体" w:hAnsi="黑体" w:eastAsia="黑体"/>
          <w:b/>
          <w:bCs/>
          <w:color w:val="000000" w:themeColor="text1"/>
          <w14:textFill>
            <w14:solidFill>
              <w14:schemeClr w14:val="tx1"/>
            </w14:solidFill>
          </w14:textFill>
        </w:rPr>
        <w:t>局限性：</w:t>
      </w:r>
      <w:r>
        <w:rPr>
          <w:color w:val="000000" w:themeColor="text1"/>
          <w14:textFill>
            <w14:solidFill>
              <w14:schemeClr w14:val="tx1"/>
            </w14:solidFill>
          </w14:textFill>
        </w:rPr>
        <w:t>该指标只能从一个侧面反映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外聘</w:t>
      </w:r>
      <w:r>
        <w:rPr>
          <w:color w:val="000000" w:themeColor="text1"/>
          <w14:textFill>
            <w14:solidFill>
              <w14:schemeClr w14:val="tx1"/>
            </w14:solidFill>
          </w14:textFill>
        </w:rPr>
        <w:t>师资情况，在评价</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高校外聘教师情况时应结合外聘教师的学历、职称、专业背景、所从事教学的专业领域等方面进行综合分析。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高职（专科）院校聘请教师与校本部专任教师比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=（高职（专科）院校聘请校外教师数+临床教师数）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高职（专科）院校校本部专任教师数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普通本科院校聘请教师与校本部专任教师比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=（普通本科院校聘请校外教师数+临床教师数）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普通本科院校校本部专任教师数</w:t>
      </w:r>
    </w:p>
    <w:p>
      <w:pPr>
        <w:pStyle w:val="3"/>
        <w:rPr>
          <w:color w:val="000000" w:themeColor="text1"/>
          <w14:textFill>
            <w14:solidFill>
              <w14:schemeClr w14:val="tx1"/>
            </w14:solidFill>
          </w14:textFill>
        </w:rPr>
      </w:pPr>
      <w:bookmarkStart w:id="152" w:name="_Toc59961169"/>
      <w:r>
        <w:rPr>
          <w:color w:val="000000" w:themeColor="text1"/>
          <w14:textFill>
            <w14:solidFill>
              <w14:schemeClr w14:val="tx1"/>
            </w14:solidFill>
          </w14:textFill>
        </w:rPr>
        <w:t>65. 普通高校聘请外籍教师</w:t>
      </w:r>
      <w:r>
        <w:rPr>
          <w:rFonts w:hint="eastAsia"/>
          <w:color w:val="000000" w:themeColor="text1"/>
          <w14:textFill>
            <w14:solidFill>
              <w14:schemeClr w14:val="tx1"/>
            </w14:solidFill>
          </w14:textFill>
        </w:rPr>
        <w:t>与专任</w:t>
      </w:r>
      <w:r>
        <w:rPr>
          <w:color w:val="000000" w:themeColor="text1"/>
          <w14:textFill>
            <w14:solidFill>
              <w14:schemeClr w14:val="tx1"/>
            </w14:solidFill>
          </w14:textFill>
        </w:rPr>
        <w:t>教师比</w:t>
      </w:r>
      <w:bookmarkEnd w:id="146"/>
      <w:bookmarkEnd w:id="15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外籍教师</w:t>
      </w:r>
      <w:r>
        <w:rPr>
          <w:rFonts w:hint="eastAsia"/>
          <w:color w:val="000000" w:themeColor="text1"/>
          <w14:textFill>
            <w14:solidFill>
              <w14:schemeClr w14:val="tx1"/>
            </w14:solidFill>
          </w14:textFill>
        </w:rPr>
        <w:t>与专任教师</w:t>
      </w:r>
      <w:r>
        <w:rPr>
          <w:color w:val="000000" w:themeColor="text1"/>
          <w14:textFill>
            <w14:solidFill>
              <w14:schemeClr w14:val="tx1"/>
            </w14:solidFill>
          </w14:textFill>
        </w:rPr>
        <w:t>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的外籍教师数</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w:t>
      </w:r>
      <w:r>
        <w:rPr>
          <w:rFonts w:hint="eastAsia"/>
          <w:color w:val="000000" w:themeColor="text1"/>
          <w14:textFill>
            <w14:solidFill>
              <w14:schemeClr w14:val="tx1"/>
            </w14:solidFill>
          </w14:textFill>
        </w:rPr>
        <w:t>的比例</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该指标可反映普通高校</w:t>
      </w:r>
      <w:r>
        <w:rPr>
          <w:rFonts w:hint="eastAsia"/>
          <w:color w:val="000000" w:themeColor="text1"/>
          <w14:textFill>
            <w14:solidFill>
              <w14:schemeClr w14:val="tx1"/>
            </w14:solidFill>
          </w14:textFill>
        </w:rPr>
        <w:t>对人才</w:t>
      </w:r>
      <w:r>
        <w:rPr>
          <w:color w:val="000000" w:themeColor="text1"/>
          <w14:textFill>
            <w14:solidFill>
              <w14:schemeClr w14:val="tx1"/>
            </w14:solidFill>
          </w14:textFill>
        </w:rPr>
        <w:t>的吸引力，体现高等教育的国际</w:t>
      </w:r>
      <w:r>
        <w:rPr>
          <w:rFonts w:hint="eastAsia"/>
          <w:color w:val="000000" w:themeColor="text1"/>
          <w14:textFill>
            <w14:solidFill>
              <w14:schemeClr w14:val="tx1"/>
            </w14:solidFill>
          </w14:textFill>
        </w:rPr>
        <w:t>化</w:t>
      </w:r>
      <w:r>
        <w:rPr>
          <w:color w:val="000000" w:themeColor="text1"/>
          <w14:textFill>
            <w14:solidFill>
              <w14:schemeClr w14:val="tx1"/>
            </w14:solidFill>
          </w14:textFill>
        </w:rPr>
        <w:t>程度和开放水平。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普通高校聘</w:t>
      </w:r>
      <w:r>
        <w:rPr>
          <w:rFonts w:hint="eastAsia"/>
          <w:color w:val="000000" w:themeColor="text1"/>
          <w14:textFill>
            <w14:solidFill>
              <w14:schemeClr w14:val="tx1"/>
            </w14:solidFill>
          </w14:textFill>
        </w:rPr>
        <w:t>请</w:t>
      </w:r>
      <w:r>
        <w:rPr>
          <w:color w:val="000000" w:themeColor="text1"/>
          <w14:textFill>
            <w14:solidFill>
              <w14:schemeClr w14:val="tx1"/>
            </w14:solidFill>
          </w14:textFill>
        </w:rPr>
        <w:t>外籍教师</w:t>
      </w:r>
      <w:r>
        <w:rPr>
          <w:rFonts w:hint="eastAsia"/>
          <w:color w:val="000000" w:themeColor="text1"/>
          <w14:textFill>
            <w14:solidFill>
              <w14:schemeClr w14:val="tx1"/>
            </w14:solidFill>
          </w14:textFill>
        </w:rPr>
        <w:t>与专任教师</w:t>
      </w:r>
      <w:r>
        <w:rPr>
          <w:color w:val="000000" w:themeColor="text1"/>
          <w14:textFill>
            <w14:solidFill>
              <w14:schemeClr w14:val="tx1"/>
            </w14:solidFill>
          </w14:textFill>
        </w:rPr>
        <w:t>比=普通高校</w:t>
      </w:r>
      <w:r>
        <w:rPr>
          <w:rFonts w:hint="eastAsia"/>
          <w:color w:val="000000" w:themeColor="text1"/>
          <w14:textFill>
            <w14:solidFill>
              <w14:schemeClr w14:val="tx1"/>
            </w14:solidFill>
          </w14:textFill>
        </w:rPr>
        <w:t>聘请</w:t>
      </w:r>
      <w:r>
        <w:rPr>
          <w:color w:val="000000" w:themeColor="text1"/>
          <w14:textFill>
            <w14:solidFill>
              <w14:schemeClr w14:val="tx1"/>
            </w14:solidFill>
          </w14:textFill>
        </w:rPr>
        <w:t>外籍教师数/普通高校</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学校类型；分层次；分办别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w:t>
      </w:r>
      <w:r>
        <w:rPr>
          <w:color w:val="000000" w:themeColor="text1"/>
          <w14:textFill>
            <w14:solidFill>
              <w14:schemeClr w14:val="tx1"/>
            </w14:solidFill>
          </w14:textFill>
        </w:rPr>
        <w:t>高，说明高等教育的</w:t>
      </w:r>
      <w:r>
        <w:rPr>
          <w:rFonts w:hint="eastAsia"/>
          <w:color w:val="000000" w:themeColor="text1"/>
          <w14:textFill>
            <w14:solidFill>
              <w14:schemeClr w14:val="tx1"/>
            </w14:solidFill>
          </w14:textFill>
        </w:rPr>
        <w:t>国际化程度</w:t>
      </w:r>
      <w:r>
        <w:rPr>
          <w:color w:val="000000" w:themeColor="text1"/>
          <w14:textFill>
            <w14:solidFill>
              <w14:schemeClr w14:val="tx1"/>
            </w14:solidFill>
          </w14:textFill>
        </w:rPr>
        <w:t>和对外开放水平高，以及对优质师资的吸引</w:t>
      </w:r>
      <w:r>
        <w:rPr>
          <w:rFonts w:hint="eastAsia"/>
          <w:color w:val="000000" w:themeColor="text1"/>
          <w14:textFill>
            <w14:solidFill>
              <w14:schemeClr w14:val="tx1"/>
            </w14:solidFill>
          </w14:textFill>
        </w:rPr>
        <w:t>力</w:t>
      </w:r>
      <w:r>
        <w:rPr>
          <w:color w:val="000000" w:themeColor="text1"/>
          <w14:textFill>
            <w14:solidFill>
              <w14:schemeClr w14:val="tx1"/>
            </w14:solidFill>
          </w14:textFill>
        </w:rPr>
        <w:t>和引进程度高。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该指标只能从一个侧面反映优质师资的引进情况，综合评价外籍师资的引进情况时应结合聘任的外籍教师的学历、职称、专业背景、所从事教学的专业领域等方面进行分析。</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高职（专科）院校聘请外籍教师与专任教师比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=高职（专科）院校聘请外籍教师数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高职（专科）院校专任教师总数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普通本科院校聘请外籍教师与专任教师比</w:t>
      </w:r>
    </w:p>
    <w:p>
      <w:pPr>
        <w:rPr>
          <w:color w:val="000000" w:themeColor="text1"/>
          <w14:textFill>
            <w14:solidFill>
              <w14:schemeClr w14:val="tx1"/>
            </w14:solidFill>
          </w14:textFill>
        </w:rPr>
      </w:pPr>
      <w:bookmarkStart w:id="153" w:name="_Hlk21283937"/>
      <w:r>
        <w:rPr>
          <w:rFonts w:hint="eastAsia"/>
          <w:color w:val="000000" w:themeColor="text1"/>
          <w14:textFill>
            <w14:solidFill>
              <w14:schemeClr w14:val="tx1"/>
            </w14:solidFill>
          </w14:textFill>
        </w:rPr>
        <w:t>=普通本科院校聘请外籍教师数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普通本科院校专任教师总数</w:t>
      </w:r>
      <w:bookmarkEnd w:id="153"/>
    </w:p>
    <w:p>
      <w:pPr>
        <w:pStyle w:val="3"/>
        <w:rPr>
          <w:color w:val="000000" w:themeColor="text1"/>
          <w14:textFill>
            <w14:solidFill>
              <w14:schemeClr w14:val="tx1"/>
            </w14:solidFill>
          </w14:textFill>
        </w:rPr>
      </w:pPr>
      <w:bookmarkStart w:id="154" w:name="_Toc54862046"/>
      <w:bookmarkStart w:id="155" w:name="_Toc59961170"/>
      <w:bookmarkStart w:id="156" w:name="_Toc398192929"/>
      <w:bookmarkStart w:id="157" w:name="_Toc9848789"/>
      <w:bookmarkStart w:id="158" w:name="_Toc398192933"/>
      <w:r>
        <w:rPr>
          <w:color w:val="000000" w:themeColor="text1"/>
          <w14:textFill>
            <w14:solidFill>
              <w14:schemeClr w14:val="tx1"/>
            </w14:solidFill>
          </w14:textFill>
        </w:rPr>
        <w:t xml:space="preserve">66. </w:t>
      </w:r>
      <w:r>
        <w:rPr>
          <w:rFonts w:hint="eastAsia"/>
          <w:color w:val="000000" w:themeColor="text1"/>
          <w14:textFill>
            <w14:solidFill>
              <w14:schemeClr w14:val="tx1"/>
            </w14:solidFill>
          </w14:textFill>
        </w:rPr>
        <w:t>专任教师退出率（%）</w:t>
      </w:r>
      <w:bookmarkEnd w:id="154"/>
      <w:bookmarkEnd w:id="155"/>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spacing w:val="-4"/>
          <w14:textFill>
            <w14:solidFill>
              <w14:schemeClr w14:val="tx1"/>
            </w14:solidFill>
          </w14:textFill>
        </w:rPr>
        <w:t>专任教师退出率是指上学年离开专任教师岗位的人数占上学年专任教师总数的比例。</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衡量专任教师队伍稳定程度。</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专任教师退出率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某级教育上学年离开专任教师岗位的人数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某级教育上学年初专任教师总数*100%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上学年离开专任教师岗位的人数=上学年专任教师数-本学年专任教师数+本学年新增专任教师数（含录用毕业生+校内转岗+外单位非专任教师转入+其他）</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 xml:space="preserve"> 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；分办别；分年龄；分退出类型</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 xml:space="preserve"> 该指标值越高</w:t>
      </w:r>
      <w:r>
        <w:rPr>
          <w:rFonts w:hint="eastAsia"/>
          <w:color w:val="000000" w:themeColor="text1"/>
          <w14:textFill>
            <w14:solidFill>
              <w14:schemeClr w14:val="tx1"/>
            </w14:solidFill>
          </w14:textFill>
        </w:rPr>
        <w:t>，表明上学年退出教师岗位的人数越多，指标值越低，表明上学年退出教师岗位的人数越少，教师稳定性越高。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教师队伍稳定程度受多方面因素影响，其中由于岗位调整等原因从专任教师队伍退出转而专职从事行政工作的人员，实质上并没有离开教育教学，甚至一部分人员仍承担授课任务，但从统计的角度来说，这部分人已经从专任教师队伍中退出了。</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（3）初中教师退出率（%）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（4）普通高中教师退出率（%）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（5）中等职业学校教师退出率（%）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（6）普通高校教师退出率（%）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=普通高校上学年离开专任教师岗位的人数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（7）辞职引起的专任教师退出率（%）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=上学年因辞职离开专任教师岗位的人数/上学年初专任教师总数*100%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（8）自然减员引起的专任教师退出率（%）</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=上学年因自然减员离开专任教师岗位的人数/上学年初专任教师总数*100%</w:t>
      </w:r>
    </w:p>
    <w:p>
      <w:pPr>
        <w:pStyle w:val="3"/>
        <w:rPr>
          <w:color w:val="000000" w:themeColor="text1"/>
          <w14:textFill>
            <w14:solidFill>
              <w14:schemeClr w14:val="tx1"/>
            </w14:solidFill>
          </w14:textFill>
        </w:rPr>
      </w:pPr>
      <w:bookmarkStart w:id="159" w:name="_Toc54862047"/>
      <w:bookmarkStart w:id="160" w:name="_Toc59961171"/>
      <w:r>
        <w:rPr>
          <w:color w:val="000000" w:themeColor="text1"/>
          <w14:textFill>
            <w14:solidFill>
              <w14:schemeClr w14:val="tx1"/>
            </w14:solidFill>
          </w14:textFill>
        </w:rPr>
        <w:t xml:space="preserve">67. </w:t>
      </w:r>
      <w:r>
        <w:rPr>
          <w:rFonts w:hint="eastAsia"/>
          <w:color w:val="000000" w:themeColor="text1"/>
          <w14:textFill>
            <w14:solidFill>
              <w14:schemeClr w14:val="tx1"/>
            </w14:solidFill>
          </w14:textFill>
        </w:rPr>
        <w:t>教师平均工资收入水平与当地公务员平均工资收入水平比</w:t>
      </w:r>
      <w:bookmarkEnd w:id="159"/>
      <w:bookmarkEnd w:id="160"/>
    </w:p>
    <w:p>
      <w:pPr>
        <w:ind w:firstLine="482"/>
        <w:rPr>
          <w:rFonts w:ascii="宋体" w:hAnsi="宋体"/>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教师平均工资收入水平与当地公务员平均工资收入水平比，是指教师平均工资收入与当地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平均工资收入之比。平均</w:t>
      </w:r>
      <w:r>
        <w:rPr>
          <w:color w:val="000000" w:themeColor="text1"/>
          <w14:textFill>
            <w14:solidFill>
              <w14:schemeClr w14:val="tx1"/>
            </w14:solidFill>
          </w14:textFill>
        </w:rPr>
        <w:t>工资为就业人员在一定时期内平均每人所得的货币工资额。</w:t>
      </w:r>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spacing w:val="-4"/>
          <w14:textFill>
            <w14:solidFill>
              <w14:schemeClr w14:val="tx1"/>
            </w14:solidFill>
          </w14:textFill>
        </w:rPr>
        <w:t>从教师工资收入水平衡量教师岗位的吸引力，考察地方对</w:t>
      </w:r>
      <w:r>
        <w:rPr>
          <w:color w:val="000000" w:themeColor="text1"/>
          <w:spacing w:val="-4"/>
          <w14:textFill>
            <w14:solidFill>
              <w14:schemeClr w14:val="tx1"/>
            </w14:solidFill>
          </w14:textFill>
        </w:rPr>
        <w:t>教师待遇保障工作的落实情况</w:t>
      </w:r>
      <w:r>
        <w:rPr>
          <w:rFonts w:hint="eastAsia"/>
          <w:color w:val="000000" w:themeColor="text1"/>
          <w:spacing w:val="-4"/>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教师平均工资收入水平与当地公务员平均工资收入水平比=教师平均工资/当地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调查数据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地级、县级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该指标反映教师的收入状况，指标值大于1说明教师平均工资收入水平高于当地公务员平均工资收入水平，小于1则表示教师平均工资收入水平不如当地公务员，教师待遇有待提高。</w:t>
      </w:r>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spacing w:val="-4"/>
          <w14:textFill>
            <w14:solidFill>
              <w14:schemeClr w14:val="tx1"/>
            </w14:solidFill>
          </w14:textFill>
        </w:rPr>
        <w:t>教师的职业吸引力不仅包括教师工资待遇，还包括教师的政治地位、社会地位和职业地位等。</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（1）小学教师平均工资收入水平与当地公务员平均工资收入水平比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=小学教师平均工资/当地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（2）初中教师平均工资收入水平与当地公务员平均工资收入水平比</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=初中教师平均工资/当地</w:t>
      </w:r>
      <w:r>
        <w:rPr>
          <w:color w:val="000000" w:themeColor="text1"/>
          <w14:textFill>
            <w14:solidFill>
              <w14:schemeClr w14:val="tx1"/>
            </w14:solidFill>
          </w14:textFill>
        </w:rPr>
        <w:t>公务员</w:t>
      </w:r>
      <w:r>
        <w:rPr>
          <w:rFonts w:hint="eastAsia"/>
          <w:color w:val="000000" w:themeColor="text1"/>
          <w14:textFill>
            <w14:solidFill>
              <w14:schemeClr w14:val="tx1"/>
            </w14:solidFill>
          </w14:textFill>
        </w:rPr>
        <w:t>平均工资</w:t>
      </w:r>
    </w:p>
    <w:bookmarkEnd w:id="156"/>
    <w:p>
      <w:pPr>
        <w:pStyle w:val="2"/>
        <w:rPr>
          <w:color w:val="000000" w:themeColor="text1"/>
          <w14:textFill>
            <w14:solidFill>
              <w14:schemeClr w14:val="tx1"/>
            </w14:solidFill>
          </w14:textFill>
        </w:rPr>
      </w:pPr>
      <w:bookmarkStart w:id="161" w:name="_Toc59961172"/>
      <w:r>
        <w:rPr>
          <w:rFonts w:hint="eastAsia"/>
          <w:color w:val="000000" w:themeColor="text1"/>
          <w14:textFill>
            <w14:solidFill>
              <w14:schemeClr w14:val="tx1"/>
            </w14:solidFill>
          </w14:textFill>
        </w:rPr>
        <w:t>（二）学校校舍、占地</w:t>
      </w:r>
      <w:bookmarkEnd w:id="161"/>
    </w:p>
    <w:p>
      <w:pPr>
        <w:pStyle w:val="3"/>
        <w:rPr>
          <w:color w:val="000000" w:themeColor="text1"/>
          <w14:textFill>
            <w14:solidFill>
              <w14:schemeClr w14:val="tx1"/>
            </w14:solidFill>
          </w14:textFill>
        </w:rPr>
      </w:pPr>
      <w:bookmarkStart w:id="162" w:name="_Toc54862049"/>
      <w:bookmarkStart w:id="163" w:name="_Toc59961173"/>
      <w:r>
        <w:rPr>
          <w:color w:val="000000" w:themeColor="text1"/>
          <w14:textFill>
            <w14:solidFill>
              <w14:schemeClr w14:val="tx1"/>
            </w14:solidFill>
          </w14:textFill>
        </w:rPr>
        <w:t xml:space="preserve">68. </w:t>
      </w:r>
      <w:r>
        <w:rPr>
          <w:rFonts w:hint="eastAsia"/>
          <w:color w:val="000000" w:themeColor="text1"/>
          <w14:textFill>
            <w14:solidFill>
              <w14:schemeClr w14:val="tx1"/>
            </w14:solidFill>
          </w14:textFill>
        </w:rPr>
        <w:t>义务教育阶段标准化学校覆盖率（%）</w:t>
      </w:r>
      <w:bookmarkEnd w:id="162"/>
      <w:bookmarkEnd w:id="16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标准化学校覆盖率，是指义务教育阶段达到地方颁布的各项办学标准的学校数占义务教育学校总数的比例。办学标准包括基本办学条件标准、建设标准、管理标准、生均经费标准等。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该指标可以在一定程度上反映</w:t>
      </w:r>
      <w:r>
        <w:rPr>
          <w:rFonts w:hint="eastAsia"/>
          <w:color w:val="000000" w:themeColor="text1"/>
          <w14:textFill>
            <w14:solidFill>
              <w14:schemeClr w14:val="tx1"/>
            </w14:solidFill>
          </w14:textFill>
        </w:rPr>
        <w:t xml:space="preserve">地方义务教育标准化学校建设情况，可作为教育条件保障类指标。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义务教育阶段</w:t>
      </w:r>
      <w:r>
        <w:rPr>
          <w:rFonts w:hint="eastAsia"/>
          <w:color w:val="000000" w:themeColor="text1"/>
          <w14:textFill>
            <w14:solidFill>
              <w14:schemeClr w14:val="tx1"/>
            </w14:solidFill>
          </w14:textFill>
        </w:rPr>
        <w:t>标准化学校建设覆盖率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达到地方义务教育办学标准的学校数/义务教育学校总数*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标准化学校建设覆盖率高说明地方政府学校标准化建设完成情况好。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该指标可以反映各地标准化学校建设进度，由于各省义务教育办学条件标准不同，</w:t>
      </w:r>
      <w:r>
        <w:rPr>
          <w:color w:val="000000" w:themeColor="text1"/>
          <w14:textFill>
            <w14:solidFill>
              <w14:schemeClr w14:val="tx1"/>
            </w14:solidFill>
          </w14:textFill>
        </w:rPr>
        <w:t>该指标主要适合一定区域内进行比较，跨区分析时需要考虑评选标准差异的影响</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）小学标准化学校建设覆盖率（%）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达到地方义务教育办学标准的小学学校数/小学学校总数*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）初中标准化学校建设覆盖率（%）</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达到地方义务教育办学标准的初中学校数/初中学校总数*</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w:t>
      </w:r>
    </w:p>
    <w:p>
      <w:pPr>
        <w:pStyle w:val="3"/>
        <w:rPr>
          <w:color w:val="000000" w:themeColor="text1"/>
          <w14:textFill>
            <w14:solidFill>
              <w14:schemeClr w14:val="tx1"/>
            </w14:solidFill>
          </w14:textFill>
        </w:rPr>
      </w:pPr>
      <w:bookmarkStart w:id="164" w:name="_Toc59961174"/>
      <w:r>
        <w:rPr>
          <w:color w:val="000000" w:themeColor="text1"/>
          <w14:textFill>
            <w14:solidFill>
              <w14:schemeClr w14:val="tx1"/>
            </w14:solidFill>
          </w14:textFill>
        </w:rPr>
        <w:t>69</w:t>
      </w:r>
      <w:r>
        <w:rPr>
          <w:rFonts w:hint="eastAsia"/>
          <w:color w:val="000000" w:themeColor="text1"/>
          <w14:textFill>
            <w14:solidFill>
              <w14:schemeClr w14:val="tx1"/>
            </w14:solidFill>
          </w14:textFill>
        </w:rPr>
        <w:t>. 生均校舍建筑面积（平方米/生）</w:t>
      </w:r>
      <w:bookmarkEnd w:id="157"/>
      <w:bookmarkEnd w:id="16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生均校舍建筑面积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是指某一级教育校舍建筑总面积与该级教育在校生总数之比。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该指标可反映学校校舍建筑资源的充足程度，可作为教育条件保障类指标。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生均校舍建筑面积=某一级教育校舍建筑总面积/该级教育在校生总数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生均校舍建筑面积是一个适度指标，各地应参照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优先保障教学的需要，</w:t>
      </w:r>
      <w:r>
        <w:rPr>
          <w:color w:val="000000" w:themeColor="text1"/>
          <w14:textFill>
            <w14:solidFill>
              <w14:schemeClr w14:val="tx1"/>
            </w14:solidFill>
          </w14:textFill>
        </w:rPr>
        <w:t>同时又要避免校舍建筑的空置、浪费。</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目前我国各级教育中存在多种类型的学校机构，有些学校中包含不只一级教育的学生，如九年一贯制学校、十二年一贯制学校等，</w:t>
      </w:r>
      <w:r>
        <w:rPr>
          <w:rFonts w:hint="eastAsia"/>
          <w:color w:val="000000" w:themeColor="text1"/>
          <w14:textFill>
            <w14:solidFill>
              <w14:schemeClr w14:val="tx1"/>
            </w14:solidFill>
          </w14:textFill>
        </w:rPr>
        <w:t>不同测算方法会带来测算结果的不一致和相应的误差。教育统计中，对</w:t>
      </w:r>
      <w:r>
        <w:rPr>
          <w:color w:val="000000" w:themeColor="text1"/>
          <w14:textFill>
            <w14:solidFill>
              <w14:schemeClr w14:val="tx1"/>
            </w14:solidFill>
          </w14:textFill>
        </w:rPr>
        <w:t>于</w:t>
      </w:r>
      <w:r>
        <w:rPr>
          <w:rFonts w:hint="eastAsia"/>
          <w:color w:val="000000" w:themeColor="text1"/>
          <w14:textFill>
            <w14:solidFill>
              <w14:schemeClr w14:val="tx1"/>
            </w14:solidFill>
          </w14:textFill>
        </w:rPr>
        <w:t>一贯制</w:t>
      </w:r>
      <w:r>
        <w:rPr>
          <w:color w:val="000000" w:themeColor="text1"/>
          <w14:textFill>
            <w14:solidFill>
              <w14:schemeClr w14:val="tx1"/>
            </w14:solidFill>
          </w14:textFill>
        </w:rPr>
        <w:t>学校办学条件的统计，</w:t>
      </w:r>
      <w:r>
        <w:rPr>
          <w:rFonts w:hint="eastAsia"/>
          <w:color w:val="000000" w:themeColor="text1"/>
          <w14:textFill>
            <w14:solidFill>
              <w14:schemeClr w14:val="tx1"/>
            </w14:solidFill>
          </w14:textFill>
        </w:rPr>
        <w:t>通常</w:t>
      </w:r>
      <w:r>
        <w:rPr>
          <w:color w:val="000000" w:themeColor="text1"/>
          <w14:textFill>
            <w14:solidFill>
              <w14:schemeClr w14:val="tx1"/>
            </w14:solidFill>
          </w14:textFill>
        </w:rPr>
        <w:t>采用归入其中最高一级教育的方式，具体指九年一贯制学校</w:t>
      </w:r>
      <w:r>
        <w:rPr>
          <w:rFonts w:hint="eastAsia"/>
          <w:color w:val="000000" w:themeColor="text1"/>
          <w14:textFill>
            <w14:solidFill>
              <w14:schemeClr w14:val="tx1"/>
            </w14:solidFill>
          </w14:textFill>
        </w:rPr>
        <w:t>办学条件计入初中，</w:t>
      </w:r>
      <w:r>
        <w:rPr>
          <w:color w:val="000000" w:themeColor="text1"/>
          <w14:textFill>
            <w14:solidFill>
              <w14:schemeClr w14:val="tx1"/>
            </w14:solidFill>
          </w14:textFill>
        </w:rPr>
        <w:t>完全中学和十二年一贯制学校</w:t>
      </w:r>
      <w:r>
        <w:rPr>
          <w:rFonts w:hint="eastAsia"/>
          <w:color w:val="000000" w:themeColor="text1"/>
          <w14:textFill>
            <w14:solidFill>
              <w14:schemeClr w14:val="tx1"/>
            </w14:solidFill>
          </w14:textFill>
        </w:rPr>
        <w:t>办学条件计入普通高中；在督导评估的有关文件中</w:t>
      </w:r>
      <w:r>
        <w:rPr>
          <w:rStyle w:val="36"/>
          <w:color w:val="000000" w:themeColor="text1"/>
          <w14:textFill>
            <w14:solidFill>
              <w14:schemeClr w14:val="tx1"/>
            </w14:solidFill>
          </w14:textFill>
        </w:rPr>
        <w:footnoteReference w:id="6"/>
      </w:r>
      <w:r>
        <w:rPr>
          <w:rFonts w:hint="eastAsia"/>
          <w:color w:val="000000" w:themeColor="text1"/>
          <w14:textFill>
            <w14:solidFill>
              <w14:schemeClr w14:val="tx1"/>
            </w14:solidFill>
          </w14:textFill>
        </w:rPr>
        <w:t>，则通常根据各自规模和相对比例采用拆分的方法，例如按照“一个小学生：一个初中生：一个高中生＝1：1.1：1.32”的比例进行拆分。</w:t>
      </w:r>
      <w:r>
        <w:rPr>
          <w:color w:val="000000" w:themeColor="text1"/>
          <w14:textFill>
            <w14:solidFill>
              <w14:schemeClr w14:val="tx1"/>
            </w14:solidFill>
          </w14:textFill>
        </w:rPr>
        <w:t>在分析时要考虑</w:t>
      </w:r>
      <w:r>
        <w:rPr>
          <w:rFonts w:hint="eastAsia"/>
          <w:color w:val="000000" w:themeColor="text1"/>
          <w14:textFill>
            <w14:solidFill>
              <w14:schemeClr w14:val="tx1"/>
            </w14:solidFill>
          </w14:textFill>
        </w:rPr>
        <w:t>不同统计</w:t>
      </w:r>
      <w:r>
        <w:rPr>
          <w:color w:val="000000" w:themeColor="text1"/>
          <w14:textFill>
            <w14:solidFill>
              <w14:schemeClr w14:val="tx1"/>
            </w14:solidFill>
          </w14:textFill>
        </w:rPr>
        <w:t>方式对指标值的影响。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=幼儿园校舍建筑总面积/幼儿园在园幼儿总数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=小学校舍建筑总面积/小学在校生总数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=初中校舍建筑总面积/初中在校生总数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=普通高中校舍建筑总面积/普通高中在校生总数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=特殊教育学校校舍建筑总面积/特殊教育学校在校生总数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=中等职业学校校舍建筑总面积/中等职业学校在校生总数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中等职业学校校舍建筑总面积</w:t>
      </w:r>
      <w:r>
        <w:rPr>
          <w:rFonts w:hint="eastAsia"/>
          <w:color w:val="000000" w:themeColor="text1"/>
          <w14:textFill>
            <w14:solidFill>
              <w14:schemeClr w14:val="tx1"/>
            </w14:solidFill>
          </w14:textFill>
        </w:rPr>
        <w:t>为学校产权和非学校产权独立使用的合计数，其他中等职业学校办学条件指标也取学校产权与非学校产权独立使用的合计数。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（7）普通高校生均校舍建筑面积（平方米/生）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=普通高校校舍建筑总面积/普通高校</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在校生数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在校生数=普通本专科</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硕士研究生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博士研究生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学历教育</w:t>
      </w:r>
      <w:r>
        <w:rPr>
          <w:color w:val="000000" w:themeColor="text1"/>
          <w14:textFill>
            <w14:solidFill>
              <w14:schemeClr w14:val="tx1"/>
            </w14:solidFill>
          </w14:textFill>
        </w:rPr>
        <w:t>留学生</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预科生</w:t>
      </w:r>
      <w:r>
        <w:rPr>
          <w:rFonts w:hint="eastAsia"/>
          <w:color w:val="000000" w:themeColor="text1"/>
          <w14:textFill>
            <w14:solidFill>
              <w14:schemeClr w14:val="tx1"/>
            </w14:solidFill>
          </w14:textFill>
        </w:rPr>
        <w:t>注册</w:t>
      </w:r>
      <w:r>
        <w:rPr>
          <w:color w:val="000000" w:themeColor="text1"/>
          <w14:textFill>
            <w14:solidFill>
              <w14:schemeClr w14:val="tx1"/>
            </w14:solidFill>
          </w14:textFill>
        </w:rPr>
        <w:t>数+本校中职在校生数</w:t>
      </w:r>
      <w:r>
        <w:rPr>
          <w:rFonts w:hint="eastAsia"/>
          <w:color w:val="000000" w:themeColor="text1"/>
          <w14:textFill>
            <w14:solidFill>
              <w14:schemeClr w14:val="tx1"/>
            </w14:solidFill>
          </w14:textFill>
        </w:rPr>
        <w:t>+其他（占用教学资源的全日制学历教育学生数，例如</w:t>
      </w:r>
      <w:r>
        <w:rPr>
          <w:color w:val="000000" w:themeColor="text1"/>
          <w14:textFill>
            <w14:solidFill>
              <w14:schemeClr w14:val="tx1"/>
            </w14:solidFill>
          </w14:textFill>
        </w:rPr>
        <w:t>成人脱产</w:t>
      </w:r>
      <w:r>
        <w:rPr>
          <w:rFonts w:hint="eastAsia"/>
          <w:color w:val="000000" w:themeColor="text1"/>
          <w14:textFill>
            <w14:solidFill>
              <w14:schemeClr w14:val="tx1"/>
            </w14:solidFill>
          </w14:textFill>
        </w:rPr>
        <w:t>本专科在校</w:t>
      </w:r>
      <w:r>
        <w:rPr>
          <w:color w:val="000000" w:themeColor="text1"/>
          <w14:textFill>
            <w14:solidFill>
              <w14:schemeClr w14:val="tx1"/>
            </w14:solidFill>
          </w14:textFill>
        </w:rPr>
        <w:t>生数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注：普通高校校</w:t>
      </w:r>
      <w:r>
        <w:rPr>
          <w:color w:val="000000" w:themeColor="text1"/>
          <w14:textFill>
            <w14:solidFill>
              <w14:schemeClr w14:val="tx1"/>
            </w14:solidFill>
          </w14:textFill>
        </w:rPr>
        <w:t>舍建筑总面积</w:t>
      </w:r>
      <w:r>
        <w:rPr>
          <w:rFonts w:hint="eastAsia"/>
          <w:color w:val="000000" w:themeColor="text1"/>
          <w14:textFill>
            <w14:solidFill>
              <w14:schemeClr w14:val="tx1"/>
            </w14:solidFill>
          </w14:textFill>
        </w:rPr>
        <w:t>中含学校产权和非学校产权独立使用的合计数，其他普通高校办学条件指标也取学校产权与非学校产权独立使用的合计数。</w:t>
      </w:r>
    </w:p>
    <w:p>
      <w:pPr>
        <w:pStyle w:val="3"/>
        <w:rPr>
          <w:color w:val="000000" w:themeColor="text1"/>
          <w14:textFill>
            <w14:solidFill>
              <w14:schemeClr w14:val="tx1"/>
            </w14:solidFill>
          </w14:textFill>
        </w:rPr>
      </w:pPr>
      <w:bookmarkStart w:id="165" w:name="_Toc59961175"/>
      <w:bookmarkStart w:id="166" w:name="_Toc9848790"/>
      <w:r>
        <w:rPr>
          <w:color w:val="000000" w:themeColor="text1"/>
          <w14:textFill>
            <w14:solidFill>
              <w14:schemeClr w14:val="tx1"/>
            </w14:solidFill>
          </w14:textFill>
        </w:rPr>
        <w:t>70</w:t>
      </w:r>
      <w:r>
        <w:rPr>
          <w:rFonts w:hint="eastAsia"/>
          <w:color w:val="000000" w:themeColor="text1"/>
          <w14:textFill>
            <w14:solidFill>
              <w14:schemeClr w14:val="tx1"/>
            </w14:solidFill>
          </w14:textFill>
        </w:rPr>
        <w:t>. 生均教学及辅助用房面积（平方米/生）</w:t>
      </w:r>
      <w:bookmarkEnd w:id="165"/>
      <w:bookmarkEnd w:id="166"/>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生均教学及辅助用房面积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是指某一级教育教学及辅助用房总面积与该级教育在校生总数之比。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该指标可反映学校教学及辅助用房资源的充足程度，可作为教育条件保障类指标。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面积=某一级教育教学及辅助用房</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生均教学及辅助用房面积是一个适度指标，各地应参照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优先保障教学的需要，</w:t>
      </w:r>
      <w:r>
        <w:rPr>
          <w:color w:val="000000" w:themeColor="text1"/>
          <w14:textFill>
            <w14:solidFill>
              <w14:schemeClr w14:val="tx1"/>
            </w14:solidFill>
          </w14:textFill>
        </w:rPr>
        <w:t>同时又要避免学校教学</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辅助用房的空置、浪费。</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=中等职业学校教学及辅助</w:t>
      </w:r>
      <w:r>
        <w:rPr>
          <w:rFonts w:hint="eastAsia"/>
          <w:color w:val="000000" w:themeColor="text1"/>
          <w14:textFill>
            <w14:solidFill>
              <w14:schemeClr w14:val="tx1"/>
            </w14:solidFill>
          </w14:textFill>
        </w:rPr>
        <w:t>用房</w:t>
      </w:r>
      <w:r>
        <w:rPr>
          <w:color w:val="000000" w:themeColor="text1"/>
          <w14:textFill>
            <w14:solidFill>
              <w14:schemeClr w14:val="tx1"/>
            </w14:solidFill>
          </w14:textFill>
        </w:rPr>
        <w:t>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（7）普通高校生均教学及辅助用房面积（平方米/生）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普通高校教学及辅助用房总面积/普通高校全日制在校生数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注：普通高校教学及辅助用房包括包括教室、图书馆、实验室、实习场所、体育馆、会堂等，不含专用科研用房。</w:t>
      </w:r>
    </w:p>
    <w:p>
      <w:pPr>
        <w:pStyle w:val="3"/>
        <w:rPr>
          <w:color w:val="000000" w:themeColor="text1"/>
          <w14:textFill>
            <w14:solidFill>
              <w14:schemeClr w14:val="tx1"/>
            </w14:solidFill>
          </w14:textFill>
        </w:rPr>
      </w:pPr>
      <w:bookmarkStart w:id="167" w:name="_Toc59961176"/>
      <w:r>
        <w:rPr>
          <w:color w:val="000000" w:themeColor="text1"/>
          <w14:textFill>
            <w14:solidFill>
              <w14:schemeClr w14:val="tx1"/>
            </w14:solidFill>
          </w14:textFill>
        </w:rPr>
        <w:t xml:space="preserve">71. </w:t>
      </w:r>
      <w:r>
        <w:rPr>
          <w:rFonts w:hint="eastAsia"/>
          <w:color w:val="000000" w:themeColor="text1"/>
          <w14:textFill>
            <w14:solidFill>
              <w14:schemeClr w14:val="tx1"/>
            </w14:solidFill>
          </w14:textFill>
        </w:rPr>
        <w:t>生均实验室面积（平方米/生</w:t>
      </w:r>
      <w:r>
        <w:rPr>
          <w:color w:val="000000" w:themeColor="text1"/>
          <w14:textFill>
            <w14:solidFill>
              <w14:schemeClr w14:val="tx1"/>
            </w14:solidFill>
          </w14:textFill>
        </w:rPr>
        <w:t>）</w:t>
      </w:r>
      <w:bookmarkEnd w:id="158"/>
      <w:bookmarkEnd w:id="16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生均实验室面积，是指某一级教育实验室总面积与该级教育在校生总数之比。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该指标可反映某一级教育</w:t>
      </w:r>
      <w:r>
        <w:rPr>
          <w:rFonts w:hint="eastAsia"/>
          <w:color w:val="000000" w:themeColor="text1"/>
          <w14:textFill>
            <w14:solidFill>
              <w14:schemeClr w14:val="tx1"/>
            </w14:solidFill>
          </w14:textFill>
        </w:rPr>
        <w:t>实验室用房资源的充足程度</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生均实验室面积</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级教育</w:t>
      </w:r>
      <w:r>
        <w:rPr>
          <w:rFonts w:hint="eastAsia"/>
          <w:color w:val="000000" w:themeColor="text1"/>
          <w14:textFill>
            <w14:solidFill>
              <w14:schemeClr w14:val="tx1"/>
            </w14:solidFill>
          </w14:textFill>
        </w:rPr>
        <w:t>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、地级、县级、校级（普通高校不适用于地级和县级）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生均实验室面积是一个适度指标，各地应参照最新国家或地方标准和规定进行监测，要避免学校实验室的挤占与闲置。该指标值在适度范围内越大说明实验室越充足，越能满足教学的需要。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注意该指标计算时会受到不同类型学校（机构）的办学条件在各级教育中归属方法的影响。另外，对于全国及各地区，生均指标只能反映一般趋势，不能体现校际间的差异。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生均实验室面积（平方米/生）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小学在校生总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生均实验室面积（平方米/生）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初中在校生总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生均实验室面积（平方米/生）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实验室总面积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普通高中在校生总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（4）中等职业学校生均实验室、实习场所面积（平方米/生）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中等职业学校实验室、实习场所总面积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普通高校生均实验室、实习场所面积（平方米/生）</w:t>
      </w:r>
    </w:p>
    <w:p>
      <w:pPr>
        <w:rPr>
          <w:color w:val="000000" w:themeColor="text1"/>
          <w14:textFill>
            <w14:solidFill>
              <w14:schemeClr w14:val="tx1"/>
            </w14:solidFill>
          </w14:textFill>
        </w:rPr>
      </w:pPr>
      <w:bookmarkStart w:id="168" w:name="_Toc398192934"/>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实验室、实习场所总面积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普通高校全日制在校生</w:t>
      </w:r>
      <w:r>
        <w:rPr>
          <w:color w:val="000000" w:themeColor="text1"/>
          <w14:textFill>
            <w14:solidFill>
              <w14:schemeClr w14:val="tx1"/>
            </w14:solidFill>
          </w14:textFill>
        </w:rPr>
        <w:t>数</w:t>
      </w:r>
    </w:p>
    <w:p>
      <w:pPr>
        <w:pStyle w:val="3"/>
        <w:rPr>
          <w:color w:val="000000" w:themeColor="text1"/>
          <w14:textFill>
            <w14:solidFill>
              <w14:schemeClr w14:val="tx1"/>
            </w14:solidFill>
          </w14:textFill>
        </w:rPr>
      </w:pPr>
      <w:bookmarkStart w:id="169" w:name="_Toc59961177"/>
      <w:r>
        <w:rPr>
          <w:color w:val="000000" w:themeColor="text1"/>
          <w14:textFill>
            <w14:solidFill>
              <w14:schemeClr w14:val="tx1"/>
            </w14:solidFill>
          </w14:textFill>
        </w:rPr>
        <w:t xml:space="preserve">72. </w:t>
      </w:r>
      <w:r>
        <w:rPr>
          <w:rFonts w:hint="eastAsia"/>
          <w:color w:val="000000" w:themeColor="text1"/>
          <w14:textFill>
            <w14:solidFill>
              <w14:schemeClr w14:val="tx1"/>
            </w14:solidFill>
          </w14:textFill>
        </w:rPr>
        <w:t>寄（住）宿生生均宿舍面积（平方米/生</w:t>
      </w:r>
      <w:r>
        <w:rPr>
          <w:color w:val="000000" w:themeColor="text1"/>
          <w14:textFill>
            <w14:solidFill>
              <w14:schemeClr w14:val="tx1"/>
            </w14:solidFill>
          </w14:textFill>
        </w:rPr>
        <w:t>）</w:t>
      </w:r>
      <w:bookmarkEnd w:id="168"/>
      <w:bookmarkEnd w:id="16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寄（住）宿生生均宿舍面积，是指某一级教育学生宿舍（公寓）总面积与该级教育寄（住）宿生总数之比。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w:t>
      </w:r>
      <w:r>
        <w:rPr>
          <w:rFonts w:hint="eastAsia"/>
          <w:color w:val="000000" w:themeColor="text1"/>
          <w14:textFill>
            <w14:solidFill>
              <w14:schemeClr w14:val="tx1"/>
            </w14:solidFill>
          </w14:textFill>
        </w:rPr>
        <w:t>学校的宿舍资源情况</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寄（住）宿生生均宿舍面积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某一级教育学生宿舍（公寓）总面积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该级教育寄（住）宿生总数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学段；分城乡（中等职业学校除外）；分办别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该指标是一个适度指标，各地应参照最新国家和地方标准和规定进行监测，要避免学校宿舍用房的挤占与闲置。该指标值在适度范围内越大说明宿舍用房越充足，越能满足学生的住宿需要。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注意该指标计算时会受到不同类型学校（机构）的办学条件在各级教育中归属方法的影响。另外，对于全国及各地区，生均指标只能反映一般趋势，不能体现校际间的差异。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寄宿生生均宿舍面积（平方米/生）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学生宿舍总面积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小学寄宿生总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寄宿生生均宿舍面积（平方米/生）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学生宿舍总面积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初中寄宿生总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寄宿生生均宿舍面积（平方米/生）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学生宿舍总面积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普通高中寄宿生总</w:t>
      </w:r>
      <w:r>
        <w:rPr>
          <w:color w:val="000000" w:themeColor="text1"/>
          <w14:textFill>
            <w14:solidFill>
              <w14:schemeClr w14:val="tx1"/>
            </w14:solidFill>
          </w14:textFill>
        </w:rPr>
        <w:t>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住宿生</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宿舍面积</w:t>
      </w:r>
      <w:r>
        <w:rPr>
          <w:color w:val="000000" w:themeColor="text1"/>
          <w14:textFill>
            <w14:solidFill>
              <w14:schemeClr w14:val="tx1"/>
            </w14:solidFill>
          </w14:textFill>
        </w:rPr>
        <w:t>（平方米/生）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学生宿舍（公寓）总面积</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住宿生</w:t>
      </w:r>
      <w:r>
        <w:rPr>
          <w:color w:val="000000" w:themeColor="text1"/>
          <w14:textFill>
            <w14:solidFill>
              <w14:schemeClr w14:val="tx1"/>
            </w14:solidFill>
          </w14:textFill>
        </w:rPr>
        <w:t>总数</w:t>
      </w:r>
    </w:p>
    <w:p>
      <w:pPr>
        <w:pStyle w:val="3"/>
        <w:rPr>
          <w:color w:val="000000" w:themeColor="text1"/>
          <w14:textFill>
            <w14:solidFill>
              <w14:schemeClr w14:val="tx1"/>
            </w14:solidFill>
          </w14:textFill>
        </w:rPr>
      </w:pPr>
      <w:bookmarkStart w:id="170" w:name="_Toc59961178"/>
      <w:bookmarkStart w:id="171" w:name="_Toc398192935"/>
      <w:bookmarkStart w:id="172" w:name="_Toc9848794"/>
      <w:r>
        <w:rPr>
          <w:color w:val="000000" w:themeColor="text1"/>
          <w14:textFill>
            <w14:solidFill>
              <w14:schemeClr w14:val="tx1"/>
            </w14:solidFill>
          </w14:textFill>
        </w:rPr>
        <w:t>73</w:t>
      </w:r>
      <w:r>
        <w:rPr>
          <w:rFonts w:hint="eastAsia"/>
          <w:color w:val="000000" w:themeColor="text1"/>
          <w14:textFill>
            <w14:solidFill>
              <w14:schemeClr w14:val="tx1"/>
            </w14:solidFill>
          </w14:textFill>
        </w:rPr>
        <w:t>. 普通高校生均宿舍面积（平方米/生</w:t>
      </w:r>
      <w:r>
        <w:rPr>
          <w:color w:val="000000" w:themeColor="text1"/>
          <w14:textFill>
            <w14:solidFill>
              <w14:schemeClr w14:val="tx1"/>
            </w14:solidFill>
          </w14:textFill>
        </w:rPr>
        <w:t>）</w:t>
      </w:r>
      <w:bookmarkEnd w:id="170"/>
      <w:bookmarkEnd w:id="17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普通高校生均宿舍面积，是指普通高校学生宿舍（公寓）总面积与普通高校全日制在校生总数之比。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w:t>
      </w:r>
      <w:r>
        <w:rPr>
          <w:rFonts w:hint="eastAsia"/>
          <w:color w:val="000000" w:themeColor="text1"/>
          <w14:textFill>
            <w14:solidFill>
              <w14:schemeClr w14:val="tx1"/>
            </w14:solidFill>
          </w14:textFill>
        </w:rPr>
        <w:t>学生宿舍的充足情况</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ascii="宋体" w:hAnsi="宋体"/>
          <w:bCs/>
          <w:color w:val="000000" w:themeColor="text1"/>
          <w14:textFill>
            <w14:solidFill>
              <w14:schemeClr w14:val="tx1"/>
            </w14:solidFill>
          </w14:textFill>
        </w:rPr>
        <w:t>普通高校生均宿舍面积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普通高校学生宿舍（公寓）总面积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普通高校全日制在校生数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分层次；分办别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生均宿舍面积是一个适度指标，各地应参照国家标准和规定进行监测，要避免学校宿舍用房的挤占与闲置。该指标值在适度范围内越大说明宿舍用房越充足，越能满足学生的住宿需要。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对于全国及各地区，生均指标只能反映一般趋势，不能体现校际间的差异。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）高职（专科）院校生均宿舍面积（平方米/生）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高职（专科）院校学生宿舍（公寓）总面积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高职（专科）院校全日制在校生数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）普通本科院校生均宿舍面积（平方米/生）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普通本科院校学生宿舍（公寓）总面积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普通本科院校全日制在校生数</w:t>
      </w:r>
    </w:p>
    <w:p>
      <w:pPr>
        <w:pStyle w:val="3"/>
        <w:rPr>
          <w:color w:val="000000" w:themeColor="text1"/>
          <w14:textFill>
            <w14:solidFill>
              <w14:schemeClr w14:val="tx1"/>
            </w14:solidFill>
          </w14:textFill>
        </w:rPr>
      </w:pPr>
      <w:bookmarkStart w:id="173" w:name="_Toc59961179"/>
      <w:r>
        <w:rPr>
          <w:color w:val="000000" w:themeColor="text1"/>
          <w14:textFill>
            <w14:solidFill>
              <w14:schemeClr w14:val="tx1"/>
            </w14:solidFill>
          </w14:textFill>
        </w:rPr>
        <w:t>74</w:t>
      </w:r>
      <w:r>
        <w:rPr>
          <w:rFonts w:hint="eastAsia"/>
          <w:color w:val="000000" w:themeColor="text1"/>
          <w14:textFill>
            <w14:solidFill>
              <w14:schemeClr w14:val="tx1"/>
            </w14:solidFill>
          </w14:textFill>
        </w:rPr>
        <w:t>. 生均学校占地面积（平方米/生）</w:t>
      </w:r>
      <w:bookmarkEnd w:id="172"/>
      <w:bookmarkEnd w:id="173"/>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生均学校占地面积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学校占地总面积与该级教育学生总数之比。对于基础教育，学校占地面积是指学校校园内的土地面积，不包括校园外学校拥有的农场、林场及校办工厂等土地面积；对于中等职业教育和高等教育，学校占地面积是指学校具有国家颁发的土地使用权证所占用的土地面积，不包括农场、林场的占地面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该指标可反映学校占地面积的充足程度，可作为教育条件保障类指标。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生均学校占地面积=某一级教育学校占地总面积/该级教育在校生总数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生均学校占地面积是一个适度指标，各地应参照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优先保障教学的需要</w:t>
      </w:r>
      <w:r>
        <w:rPr>
          <w:color w:val="000000" w:themeColor="text1"/>
          <w14:textFill>
            <w14:solidFill>
              <w14:schemeClr w14:val="tx1"/>
            </w14:solidFill>
          </w14:textFill>
        </w:rPr>
        <w:t xml:space="preserve">。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=幼儿园占地总面积/幼儿园在园幼儿总数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=小学学校占地总面积/小学在校生总数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=初中学校占地总面积/初中在校生总数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=普通高中学校占地总面积/普通高中在校生总数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=特殊教育学校占地总面积/特殊教育学校在校生总数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=中等职业学校占地总面积/中等职业学校在校生总数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（7）普通高校生均学校占地面积（平方米/生）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=普通高校学校占地总面积/普通高校</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在校生数</w:t>
      </w:r>
    </w:p>
    <w:p>
      <w:pPr>
        <w:pStyle w:val="3"/>
        <w:rPr>
          <w:color w:val="000000" w:themeColor="text1"/>
          <w14:textFill>
            <w14:solidFill>
              <w14:schemeClr w14:val="tx1"/>
            </w14:solidFill>
          </w14:textFill>
        </w:rPr>
      </w:pPr>
      <w:bookmarkStart w:id="174" w:name="_Toc59961180"/>
      <w:r>
        <w:rPr>
          <w:color w:val="000000" w:themeColor="text1"/>
          <w14:textFill>
            <w14:solidFill>
              <w14:schemeClr w14:val="tx1"/>
            </w14:solidFill>
          </w14:textFill>
        </w:rPr>
        <w:t>75</w:t>
      </w:r>
      <w:r>
        <w:rPr>
          <w:rFonts w:hint="eastAsia"/>
          <w:color w:val="000000" w:themeColor="text1"/>
          <w14:textFill>
            <w14:solidFill>
              <w14:schemeClr w14:val="tx1"/>
            </w14:solidFill>
          </w14:textFill>
        </w:rPr>
        <w:t>. 学校绿化用地面积所占比例（%）</w:t>
      </w:r>
      <w:bookmarkEnd w:id="174"/>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学校绿化用地面积所占比例，是指某一级教育学校绿化用地面积占该级教育学校占地面积的百分比。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该指标可反映某一级教育</w:t>
      </w:r>
      <w:r>
        <w:rPr>
          <w:rFonts w:hint="eastAsia"/>
          <w:color w:val="000000" w:themeColor="text1"/>
          <w14:textFill>
            <w14:solidFill>
              <w14:schemeClr w14:val="tx1"/>
            </w14:solidFill>
          </w14:textFill>
        </w:rPr>
        <w:t>绿化用地资源情况</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学校绿化用地面积所占比例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某一级教育学校绿化用地总面积/该级教育学校占地总面积*100%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、地级、县级、校级（普通高校不适用于地级和县级）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该指标值越大说明学校的绿化工作做得好越好，有助于构建良好的校园环境。</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该指标仅能反映学校绿化用地面积的相对比例，不能反映绿化面积的类型及实际规划效果。</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（1）幼儿园绿化用地面积所占比例（%）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=幼儿园绿化用地总面积/幼儿园占地总面积*100%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（2）小学学校绿化用地面积所占比例（%）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=小学学校绿化用地总面积/小学学校占地总面积*100%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（3）初中学校绿化用地面积所占比例（%）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=初中学校绿化用地总面积/初中学校占地总面积*100%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（4）普通高中学校绿化用地面积所占比例（%）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=普通高中学校绿化用地总面积/普通高中学校占地总面积*100%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（5）特殊教育学校绿化用地面积所占比例（%）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=特殊教育学校绿化用地总面积/特殊教育学校占地总面积*100%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（6）中等职业学校绿化用地面积所占比例（%）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=中等职业学校绿化用地总面积/中等职业学校占地总面积*100%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（7）普通高校绿化用地面积所占比例（%）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=普通高校学校绿化用地总面积/普通高校学校占地总面积*100%</w:t>
      </w:r>
    </w:p>
    <w:bookmarkEnd w:id="120"/>
    <w:p>
      <w:pPr>
        <w:pStyle w:val="3"/>
        <w:rPr>
          <w:color w:val="000000" w:themeColor="text1"/>
          <w14:textFill>
            <w14:solidFill>
              <w14:schemeClr w14:val="tx1"/>
            </w14:solidFill>
          </w14:textFill>
        </w:rPr>
      </w:pPr>
      <w:bookmarkStart w:id="175" w:name="_Toc59961181"/>
      <w:bookmarkStart w:id="176" w:name="_Toc398192938"/>
      <w:bookmarkStart w:id="177" w:name="_Toc9848797"/>
      <w:r>
        <w:rPr>
          <w:color w:val="000000" w:themeColor="text1"/>
          <w14:textFill>
            <w14:solidFill>
              <w14:schemeClr w14:val="tx1"/>
            </w14:solidFill>
          </w14:textFill>
        </w:rPr>
        <w:t>76. 生均体育馆面积（平方米/生）</w:t>
      </w:r>
      <w:bookmarkEnd w:id="175"/>
      <w:bookmarkEnd w:id="17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生均体育馆面积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是指某一级教育体育馆总面积与该级教育在校生总数之比。体育馆包括室内篮（排）球场、体操房、游泳馆、乒乓球房、武术房、身体功能房、举重房、田径跑廊等。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该指标反映学校体育馆面积的充足程度，可作为教育条件保障类指标。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生均体育馆面积=某一级教育体育馆总面积/该级教育在校生总数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生均体育馆面积数值越大说明学校体育场馆越充足，越能满足体育教学及学生体育锻炼的需要。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=小学体育馆总面积/小学在校生总数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=初中体育馆总面积/初中在校生总数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=普通高中体育馆总面积/普通高中在校生总数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=中等职业学校体育馆总面积/中等职业学校在校生总数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（5）普通高校生均体育馆面积（平方米/生）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=普通高校学校</w:t>
      </w:r>
      <w:r>
        <w:rPr>
          <w:rFonts w:hint="eastAsia"/>
          <w:color w:val="000000" w:themeColor="text1"/>
          <w14:textFill>
            <w14:solidFill>
              <w14:schemeClr w14:val="tx1"/>
            </w14:solidFill>
          </w14:textFill>
        </w:rPr>
        <w:t>体育场馆</w:t>
      </w:r>
      <w:r>
        <w:rPr>
          <w:color w:val="000000" w:themeColor="text1"/>
          <w14:textFill>
            <w14:solidFill>
              <w14:schemeClr w14:val="tx1"/>
            </w14:solidFill>
          </w14:textFill>
        </w:rPr>
        <w:t>总面积/普通高校</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在校生数</w:t>
      </w:r>
    </w:p>
    <w:p>
      <w:pPr>
        <w:pStyle w:val="3"/>
        <w:rPr>
          <w:color w:val="000000" w:themeColor="text1"/>
          <w14:textFill>
            <w14:solidFill>
              <w14:schemeClr w14:val="tx1"/>
            </w14:solidFill>
          </w14:textFill>
        </w:rPr>
      </w:pPr>
      <w:bookmarkStart w:id="178" w:name="_Toc59961182"/>
      <w:r>
        <w:rPr>
          <w:color w:val="000000" w:themeColor="text1"/>
          <w14:textFill>
            <w14:solidFill>
              <w14:schemeClr w14:val="tx1"/>
            </w14:solidFill>
          </w14:textFill>
        </w:rPr>
        <w:t>77</w:t>
      </w:r>
      <w:r>
        <w:rPr>
          <w:rFonts w:hint="eastAsia"/>
          <w:color w:val="000000" w:themeColor="text1"/>
          <w14:textFill>
            <w14:solidFill>
              <w14:schemeClr w14:val="tx1"/>
            </w14:solidFill>
          </w14:textFill>
        </w:rPr>
        <w:t>. 生均运动场地面积（平方米/生）</w:t>
      </w:r>
      <w:bookmarkEnd w:id="177"/>
      <w:bookmarkEnd w:id="178"/>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生均运动场地面积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是指某一级教育运动场总面积与该级教育在校生总数之比。运动场地面积是指学校专门用于室外体育运动并有相应设施所占用的土地面积。</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该指标反映学校运动场地面积充足程度，可作为教育条件保障类指标。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生均运动场地面积=某一级教育运动场地总面积/该级教育在校生总数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生均运动场地面积数值越大说明学校运动场地越充足，越能满足体育教学及学生体育锻炼的需要。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w:t>
      </w:r>
      <w:r>
        <w:rPr>
          <w:rFonts w:hint="eastAsia"/>
          <w:color w:val="000000" w:themeColor="text1"/>
          <w14:textFill>
            <w14:solidFill>
              <w14:schemeClr w14:val="tx1"/>
            </w14:solidFill>
          </w14:textFill>
        </w:rPr>
        <w:t>户外活动</w:t>
      </w:r>
      <w:r>
        <w:rPr>
          <w:color w:val="000000" w:themeColor="text1"/>
          <w14:textFill>
            <w14:solidFill>
              <w14:schemeClr w14:val="tx1"/>
            </w14:solidFill>
          </w14:textFill>
        </w:rPr>
        <w:t>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=幼儿园</w:t>
      </w:r>
      <w:r>
        <w:rPr>
          <w:rFonts w:hint="eastAsia"/>
          <w:color w:val="000000" w:themeColor="text1"/>
          <w14:textFill>
            <w14:solidFill>
              <w14:schemeClr w14:val="tx1"/>
            </w14:solidFill>
          </w14:textFill>
        </w:rPr>
        <w:t>户外活动</w:t>
      </w:r>
      <w:r>
        <w:rPr>
          <w:color w:val="000000" w:themeColor="text1"/>
          <w14:textFill>
            <w14:solidFill>
              <w14:schemeClr w14:val="tx1"/>
            </w14:solidFill>
          </w14:textFill>
        </w:rPr>
        <w:t>场</w:t>
      </w:r>
      <w:r>
        <w:rPr>
          <w:rFonts w:hint="eastAsia"/>
          <w:color w:val="000000" w:themeColor="text1"/>
          <w14:textFill>
            <w14:solidFill>
              <w14:schemeClr w14:val="tx1"/>
            </w14:solidFill>
          </w14:textFill>
        </w:rPr>
        <w:t>地</w:t>
      </w:r>
      <w:r>
        <w:rPr>
          <w:color w:val="000000" w:themeColor="text1"/>
          <w14:textFill>
            <w14:solidFill>
              <w14:schemeClr w14:val="tx1"/>
            </w14:solidFill>
          </w14:textFill>
        </w:rPr>
        <w:t>总面积/幼儿园在园幼儿总数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=小学运动场总面积/小学在校生总数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=初中运动场总面积/初中在校生总数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=普通高中运动场总面积/普通高中在校生总数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=特殊教育学校运动场总面积/特殊教育学校在校生总数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=中等职业学校运动场总面积/中等职业学校在校生总数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（7）普通高校生均运动场地面积（平方米/生）</w:t>
      </w:r>
    </w:p>
    <w:p>
      <w:pPr>
        <w:rPr>
          <w:color w:val="000000" w:themeColor="text1"/>
          <w14:textFill>
            <w14:solidFill>
              <w14:schemeClr w14:val="tx1"/>
            </w14:solidFill>
          </w14:textFill>
        </w:rPr>
      </w:pPr>
      <w:r>
        <w:rPr>
          <w:color w:val="000000" w:themeColor="text1"/>
          <w14:textFill>
            <w14:solidFill>
              <w14:schemeClr w14:val="tx1"/>
            </w14:solidFill>
          </w14:textFill>
        </w:rPr>
        <w:t>=普通高校运动场总面积/普通高校</w:t>
      </w:r>
      <w:r>
        <w:rPr>
          <w:rFonts w:hint="eastAsia"/>
          <w:color w:val="000000" w:themeColor="text1"/>
          <w14:textFill>
            <w14:solidFill>
              <w14:schemeClr w14:val="tx1"/>
            </w14:solidFill>
          </w14:textFill>
        </w:rPr>
        <w:t>全日制</w:t>
      </w:r>
      <w:r>
        <w:rPr>
          <w:color w:val="000000" w:themeColor="text1"/>
          <w14:textFill>
            <w14:solidFill>
              <w14:schemeClr w14:val="tx1"/>
            </w14:solidFill>
          </w14:textFill>
        </w:rPr>
        <w:t>在校生数</w:t>
      </w:r>
    </w:p>
    <w:p>
      <w:pPr>
        <w:pStyle w:val="3"/>
        <w:rPr>
          <w:color w:val="000000" w:themeColor="text1"/>
          <w14:textFill>
            <w14:solidFill>
              <w14:schemeClr w14:val="tx1"/>
            </w14:solidFill>
          </w14:textFill>
        </w:rPr>
      </w:pPr>
      <w:bookmarkStart w:id="179" w:name="_Toc9848798"/>
      <w:bookmarkStart w:id="180" w:name="_Toc59961183"/>
      <w:r>
        <w:rPr>
          <w:color w:val="000000" w:themeColor="text1"/>
          <w14:textFill>
            <w14:solidFill>
              <w14:schemeClr w14:val="tx1"/>
            </w14:solidFill>
          </w14:textFill>
        </w:rPr>
        <w:t>78</w:t>
      </w:r>
      <w:r>
        <w:rPr>
          <w:rFonts w:hint="eastAsia"/>
          <w:color w:val="000000" w:themeColor="text1"/>
          <w14:textFill>
            <w14:solidFill>
              <w14:schemeClr w14:val="tx1"/>
            </w14:solidFill>
          </w14:textFill>
        </w:rPr>
        <w:t>. 中（小）学体育运动场（馆）面积达标率（%）</w:t>
      </w:r>
      <w:bookmarkEnd w:id="179"/>
      <w:bookmarkEnd w:id="180"/>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学体育运动场（馆）面积达标率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学中体育运动场（馆）面积达标的学校数占中（小）学学校总数的百分比。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该指标反映中（小）学体育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场（馆）建设达标情况，可作为教育条件保障类指标。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学体育运动场（馆）面积达标率=中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中（小）学体育运动场（馆）面积达标率高，说明中（小）学体育运动场（馆）面积能够达到国家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标准的学校比例高，能够较好地满足</w:t>
      </w:r>
      <w:r>
        <w:rPr>
          <w:rFonts w:hint="eastAsia"/>
          <w:color w:val="000000" w:themeColor="text1"/>
          <w14:textFill>
            <w14:solidFill>
              <w14:schemeClr w14:val="tx1"/>
            </w14:solidFill>
          </w14:textFill>
        </w:rPr>
        <w:t>体育教学和师</w:t>
      </w:r>
      <w:r>
        <w:rPr>
          <w:color w:val="000000" w:themeColor="text1"/>
          <w14:textFill>
            <w14:solidFill>
              <w14:schemeClr w14:val="tx1"/>
            </w14:solidFill>
          </w14:textFill>
        </w:rPr>
        <w:t>生的需要。</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该指标主要反映中（小）学校体育运动场（馆）面积达到</w:t>
      </w:r>
      <w:r>
        <w:rPr>
          <w:rFonts w:hint="eastAsia"/>
          <w:color w:val="000000" w:themeColor="text1"/>
          <w14:textFill>
            <w14:solidFill>
              <w14:schemeClr w14:val="tx1"/>
            </w14:solidFill>
          </w14:textFill>
        </w:rPr>
        <w:t>规定标准</w:t>
      </w:r>
      <w:r>
        <w:rPr>
          <w:color w:val="000000" w:themeColor="text1"/>
          <w14:textFill>
            <w14:solidFill>
              <w14:schemeClr w14:val="tx1"/>
            </w14:solidFill>
          </w14:textFill>
        </w:rPr>
        <w:t>的比例，不能反映未达标学校与</w:t>
      </w:r>
      <w:r>
        <w:rPr>
          <w:rFonts w:hint="eastAsia"/>
          <w:color w:val="000000" w:themeColor="text1"/>
          <w14:textFill>
            <w14:solidFill>
              <w14:schemeClr w14:val="tx1"/>
            </w14:solidFill>
          </w14:textFill>
        </w:rPr>
        <w:t>规定</w:t>
      </w:r>
      <w:r>
        <w:rPr>
          <w:color w:val="000000" w:themeColor="text1"/>
          <w14:textFill>
            <w14:solidFill>
              <w14:schemeClr w14:val="tx1"/>
            </w14:solidFill>
          </w14:textFill>
        </w:rPr>
        <w:t>标准之间的差距。</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（1）小学体育运动场（馆）面积达标率（%）</w:t>
      </w:r>
    </w:p>
    <w:p>
      <w:pPr>
        <w:rPr>
          <w:color w:val="000000" w:themeColor="text1"/>
          <w14:textFill>
            <w14:solidFill>
              <w14:schemeClr w14:val="tx1"/>
            </w14:solidFill>
          </w14:textFill>
        </w:rPr>
      </w:pPr>
      <w:r>
        <w:rPr>
          <w:color w:val="000000" w:themeColor="text1"/>
          <w14:textFill>
            <w14:solidFill>
              <w14:schemeClr w14:val="tx1"/>
            </w14:solidFill>
          </w14:textFill>
        </w:rPr>
        <w:t>=小学体育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（2）初中体育运动场（馆）面积达标率（%）</w:t>
      </w:r>
    </w:p>
    <w:p>
      <w:pPr>
        <w:rPr>
          <w:color w:val="000000" w:themeColor="text1"/>
          <w14:textFill>
            <w14:solidFill>
              <w14:schemeClr w14:val="tx1"/>
            </w14:solidFill>
          </w14:textFill>
        </w:rPr>
      </w:pPr>
      <w:r>
        <w:rPr>
          <w:color w:val="000000" w:themeColor="text1"/>
          <w14:textFill>
            <w14:solidFill>
              <w14:schemeClr w14:val="tx1"/>
            </w14:solidFill>
          </w14:textFill>
        </w:rPr>
        <w:t>=初中体育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（3）普通高中体育运动场（馆）面积达标率（%）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=普通高中体育</w:t>
      </w:r>
      <w:r>
        <w:rPr>
          <w:rFonts w:hint="eastAsia"/>
          <w:color w:val="000000" w:themeColor="text1"/>
          <w14:textFill>
            <w14:solidFill>
              <w14:schemeClr w14:val="tx1"/>
            </w14:solidFill>
          </w14:textFill>
        </w:rPr>
        <w:t>运动</w:t>
      </w:r>
      <w:r>
        <w:rPr>
          <w:color w:val="000000" w:themeColor="text1"/>
          <w14:textFill>
            <w14:solidFill>
              <w14:schemeClr w14:val="tx1"/>
            </w14:solidFill>
          </w14:textFill>
        </w:rPr>
        <w:t>场（馆）面积达标的学校数/普通高中学校总数*100%</w:t>
      </w:r>
    </w:p>
    <w:p>
      <w:pPr>
        <w:pStyle w:val="2"/>
        <w:rPr>
          <w:color w:val="000000" w:themeColor="text1"/>
          <w14:textFill>
            <w14:solidFill>
              <w14:schemeClr w14:val="tx1"/>
            </w14:solidFill>
          </w14:textFill>
        </w:rPr>
      </w:pPr>
      <w:bookmarkStart w:id="181" w:name="_Toc59961184"/>
      <w:r>
        <w:rPr>
          <w:rFonts w:hint="eastAsia"/>
          <w:color w:val="000000" w:themeColor="text1"/>
          <w14:textFill>
            <w14:solidFill>
              <w14:schemeClr w14:val="tx1"/>
            </w14:solidFill>
          </w14:textFill>
        </w:rPr>
        <w:t>（三）学校图书、教学仪器配备</w:t>
      </w:r>
      <w:bookmarkEnd w:id="181"/>
    </w:p>
    <w:p>
      <w:pPr>
        <w:pStyle w:val="3"/>
        <w:rPr>
          <w:color w:val="000000" w:themeColor="text1"/>
          <w14:textFill>
            <w14:solidFill>
              <w14:schemeClr w14:val="tx1"/>
            </w14:solidFill>
          </w14:textFill>
        </w:rPr>
      </w:pPr>
      <w:bookmarkStart w:id="182" w:name="_Toc59961185"/>
      <w:bookmarkStart w:id="183" w:name="_Toc9848800"/>
      <w:bookmarkStart w:id="184" w:name="_Toc9848806"/>
      <w:r>
        <w:rPr>
          <w:color w:val="000000" w:themeColor="text1"/>
          <w14:textFill>
            <w14:solidFill>
              <w14:schemeClr w14:val="tx1"/>
            </w14:solidFill>
          </w14:textFill>
        </w:rPr>
        <w:t>79</w:t>
      </w:r>
      <w:r>
        <w:rPr>
          <w:rFonts w:hint="eastAsia"/>
          <w:color w:val="000000" w:themeColor="text1"/>
          <w14:textFill>
            <w14:solidFill>
              <w14:schemeClr w14:val="tx1"/>
            </w14:solidFill>
          </w14:textFill>
        </w:rPr>
        <w:t>. 生均图书（册/生）</w:t>
      </w:r>
      <w:bookmarkEnd w:id="182"/>
      <w:bookmarkEnd w:id="18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生均图书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与该级教育在校生总数之比。图书</w:t>
      </w:r>
      <w:r>
        <w:rPr>
          <w:rFonts w:hint="eastAsia"/>
          <w:color w:val="000000" w:themeColor="text1"/>
          <w14:textFill>
            <w14:solidFill>
              <w14:schemeClr w14:val="tx1"/>
            </w14:solidFill>
          </w14:textFill>
        </w:rPr>
        <w:t>资源总量包括图书及数字资源，其中图书</w:t>
      </w:r>
      <w:r>
        <w:rPr>
          <w:color w:val="000000" w:themeColor="text1"/>
          <w14:textFill>
            <w14:solidFill>
              <w14:schemeClr w14:val="tx1"/>
            </w14:solidFill>
          </w14:textFill>
        </w:rPr>
        <w:t>是指学校图书馆及资料室拥有的正式出版书籍</w:t>
      </w:r>
      <w:r>
        <w:rPr>
          <w:rFonts w:hint="eastAsia"/>
          <w:color w:val="000000" w:themeColor="text1"/>
          <w14:textFill>
            <w14:solidFill>
              <w14:schemeClr w14:val="tx1"/>
            </w14:solidFill>
          </w14:textFill>
        </w:rPr>
        <w:t>；数字资源包括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数字资源折合后计入图书资源总量，且所占比例最高不超过图书资源总量的40%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该指标反映学校图书</w:t>
      </w:r>
      <w:r>
        <w:rPr>
          <w:rFonts w:hint="eastAsia"/>
          <w:color w:val="000000" w:themeColor="text1"/>
          <w14:textFill>
            <w14:solidFill>
              <w14:schemeClr w14:val="tx1"/>
            </w14:solidFill>
          </w14:textFill>
        </w:rPr>
        <w:t>资源</w:t>
      </w:r>
      <w:r>
        <w:rPr>
          <w:color w:val="000000" w:themeColor="text1"/>
          <w14:textFill>
            <w14:solidFill>
              <w14:schemeClr w14:val="tx1"/>
            </w14:solidFill>
          </w14:textFill>
        </w:rPr>
        <w:t>配备情况，可作为教育条件保障类</w:t>
      </w:r>
      <w:r>
        <w:rPr>
          <w:rFonts w:hint="eastAsia"/>
          <w:color w:val="000000" w:themeColor="text1"/>
          <w14:textFill>
            <w14:solidFill>
              <w14:schemeClr w14:val="tx1"/>
            </w14:solidFill>
          </w14:textFill>
        </w:rPr>
        <w:t>和教育质量类</w:t>
      </w:r>
      <w:r>
        <w:rPr>
          <w:color w:val="000000" w:themeColor="text1"/>
          <w14:textFill>
            <w14:solidFill>
              <w14:schemeClr w14:val="tx1"/>
            </w14:solidFill>
          </w14:textFill>
        </w:rPr>
        <w:t>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生均图书=某一级教育图书</w:t>
      </w:r>
      <w:r>
        <w:rPr>
          <w:rFonts w:hint="eastAsia"/>
          <w:color w:val="000000" w:themeColor="text1"/>
          <w14:textFill>
            <w14:solidFill>
              <w14:schemeClr w14:val="tx1"/>
            </w14:solidFill>
          </w14:textFill>
        </w:rPr>
        <w:t>资源</w:t>
      </w:r>
      <w:r>
        <w:rPr>
          <w:color w:val="000000" w:themeColor="text1"/>
          <w14:textFill>
            <w14:solidFill>
              <w14:schemeClr w14:val="tx1"/>
            </w14:solidFill>
          </w14:textFill>
        </w:rPr>
        <w:t>总</w:t>
      </w:r>
      <w:r>
        <w:rPr>
          <w:rFonts w:hint="eastAsia"/>
          <w:color w:val="000000" w:themeColor="text1"/>
          <w14:textFill>
            <w14:solidFill>
              <w14:schemeClr w14:val="tx1"/>
            </w14:solidFill>
          </w14:textFill>
        </w:rPr>
        <w:t>量</w:t>
      </w:r>
      <w:r>
        <w:rPr>
          <w:color w:val="000000" w:themeColor="text1"/>
          <w14:textFill>
            <w14:solidFill>
              <w14:schemeClr w14:val="tx1"/>
            </w14:solidFill>
          </w14:textFill>
        </w:rPr>
        <w:t>/该级教育在校生总数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其中，图书资源总量=</w:t>
      </w:r>
      <m:oMath>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oMath>
      <w:r>
        <w:rPr>
          <w:rFonts w:ascii="仿宋_GB2312"/>
          <w:color w:val="000000" w:themeColor="text1"/>
          <w14:textFill>
            <w14:solidFill>
              <w14:schemeClr w14:val="tx1"/>
            </w14:solidFill>
          </w14:textFill>
        </w:rPr>
        <w:t>+</w:t>
      </w:r>
      <m:oMath>
        <m:d>
          <m:dPr>
            <m:begChr m:val="{"/>
            <m:endChr m:val=""/>
            <m:ctrlPr>
              <w:rPr>
                <w:rFonts w:hint="eastAsia" w:ascii="Cambria Math" w:hAnsi="Cambria Math"/>
                <w:color w:val="000000" w:themeColor="text1"/>
                <w14:textFill>
                  <w14:solidFill>
                    <w14:schemeClr w14:val="tx1"/>
                  </w14:solidFill>
                </w14:textFill>
              </w:rPr>
            </m:ctrlPr>
          </m:dPr>
          <m:e>
            <m:eqArr>
              <m:eqArrPr>
                <m:ctrlPr>
                  <w:rPr>
                    <w:rFonts w:hint="eastAsia" w:ascii="Cambria Math" w:hAnsi="Cambria Math"/>
                    <w:color w:val="000000" w:themeColor="text1"/>
                    <w14:textFill>
                      <w14:solidFill>
                        <w14:schemeClr w14:val="tx1"/>
                      </w14:solidFill>
                    </w14:textFill>
                  </w:rPr>
                </m:ctrlPr>
              </m:eqArrPr>
              <m:e>
                <m:f>
                  <m:fPr>
                    <m:ctrlPr>
                      <w:rPr>
                        <w:rFonts w:hint="eastAsia" w:ascii="Cambria Math" w:hAnsi="Cambria Math"/>
                        <w:color w:val="000000" w:themeColor="text1"/>
                        <w14:textFill>
                          <w14:solidFill>
                            <w14:schemeClr w14:val="tx1"/>
                          </w14:solidFill>
                        </w14:textFill>
                      </w:rPr>
                    </m:ctrlPr>
                  </m:fPr>
                  <m:num>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ctrlPr>
                      <w:rPr>
                        <w:rFonts w:hint="eastAsia" w:ascii="Cambria Math" w:hAnsi="Cambria Math"/>
                        <w:color w:val="000000" w:themeColor="text1"/>
                        <w14:textFill>
                          <w14:solidFill>
                            <w14:schemeClr w14:val="tx1"/>
                          </w14:solidFill>
                        </w14:textFill>
                      </w:rPr>
                    </m:ctrlPr>
                  </m:num>
                  <m:den>
                    <m:r>
                      <m:rPr>
                        <m:sty m:val="p"/>
                      </m:rPr>
                      <w:rPr>
                        <w:rFonts w:hint="eastAsia" w:ascii="Cambria Math" w:hAnsi="Cambria Math"/>
                        <w:color w:val="000000" w:themeColor="text1"/>
                        <w14:textFill>
                          <w14:solidFill>
                            <w14:schemeClr w14:val="tx1"/>
                          </w14:solidFill>
                        </w14:textFill>
                      </w:rPr>
                      <m:t>60%</m:t>
                    </m:r>
                    <m:ctrlPr>
                      <w:rPr>
                        <w:rFonts w:hint="eastAsia" w:ascii="Cambria Math" w:hAnsi="Cambria Math"/>
                        <w:color w:val="000000" w:themeColor="text1"/>
                        <w14:textFill>
                          <w14:solidFill>
                            <w14:schemeClr w14:val="tx1"/>
                          </w14:solidFill>
                        </w14:textFill>
                      </w:rPr>
                    </m:ctrlPr>
                  </m:den>
                </m:f>
                <m:r>
                  <m:rPr>
                    <m:sty m:val="p"/>
                  </m:rPr>
                  <w:rPr>
                    <w:rFonts w:hint="eastAsia" w:ascii="Cambria Math" w:hAnsi="Cambria Math"/>
                    <w:color w:val="000000" w:themeColor="text1"/>
                    <w14:textFill>
                      <w14:solidFill>
                        <w14:schemeClr w14:val="tx1"/>
                      </w14:solidFill>
                    </w14:textFill>
                  </w:rPr>
                  <m:t>×40%，如果</m:t>
                </m:r>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&gt;</m:t>
                </m:r>
                <m:f>
                  <m:fPr>
                    <m:ctrlPr>
                      <w:rPr>
                        <w:rFonts w:hint="eastAsia" w:ascii="Cambria Math" w:hAnsi="Cambria Math"/>
                        <w:color w:val="000000" w:themeColor="text1"/>
                        <w14:textFill>
                          <w14:solidFill>
                            <w14:schemeClr w14:val="tx1"/>
                          </w14:solidFill>
                        </w14:textFill>
                      </w:rPr>
                    </m:ctrlPr>
                  </m:fPr>
                  <m:num>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ctrlPr>
                      <w:rPr>
                        <w:rFonts w:hint="eastAsia" w:ascii="Cambria Math" w:hAnsi="Cambria Math"/>
                        <w:color w:val="000000" w:themeColor="text1"/>
                        <w14:textFill>
                          <w14:solidFill>
                            <w14:schemeClr w14:val="tx1"/>
                          </w14:solidFill>
                        </w14:textFill>
                      </w:rPr>
                    </m:ctrlPr>
                  </m:num>
                  <m:den>
                    <m:r>
                      <m:rPr>
                        <m:sty m:val="p"/>
                      </m:rPr>
                      <w:rPr>
                        <w:rFonts w:hint="eastAsia" w:ascii="Cambria Math" w:hAnsi="Cambria Math"/>
                        <w:color w:val="000000" w:themeColor="text1"/>
                        <w14:textFill>
                          <w14:solidFill>
                            <w14:schemeClr w14:val="tx1"/>
                          </w14:solidFill>
                        </w14:textFill>
                      </w:rPr>
                      <m:t>60%</m:t>
                    </m:r>
                    <m:ctrlPr>
                      <w:rPr>
                        <w:rFonts w:hint="eastAsia" w:ascii="Cambria Math" w:hAnsi="Cambria Math"/>
                        <w:color w:val="000000" w:themeColor="text1"/>
                        <w14:textFill>
                          <w14:solidFill>
                            <w14:schemeClr w14:val="tx1"/>
                          </w14:solidFill>
                        </w14:textFill>
                      </w:rPr>
                    </m:ctrlPr>
                  </m:den>
                </m:f>
                <m:r>
                  <m:rPr>
                    <m:sty m:val="p"/>
                  </m:rPr>
                  <w:rPr>
                    <w:rFonts w:hint="eastAsia" w:ascii="Cambria Math" w:hAnsi="Cambria Math"/>
                    <w:color w:val="000000" w:themeColor="text1"/>
                    <w14:textFill>
                      <w14:solidFill>
                        <w14:schemeClr w14:val="tx1"/>
                      </w14:solidFill>
                    </w14:textFill>
                  </w:rPr>
                  <m:t>×40%</m:t>
                </m:r>
                <m:ctrlPr>
                  <w:rPr>
                    <w:rFonts w:hint="eastAsia" w:ascii="Cambria Math" w:hAnsi="Cambria Math"/>
                    <w:color w:val="000000" w:themeColor="text1"/>
                    <w14:textFill>
                      <w14:solidFill>
                        <w14:schemeClr w14:val="tx1"/>
                      </w14:solidFill>
                    </w14:textFill>
                  </w:rPr>
                </m:ctrlPr>
              </m:e>
              <m:e>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，如果</m:t>
                </m:r>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m:t>
                </m:r>
                <m:f>
                  <m:fPr>
                    <m:ctrlPr>
                      <w:rPr>
                        <w:rFonts w:hint="eastAsia" w:ascii="Cambria Math" w:hAnsi="Cambria Math"/>
                        <w:color w:val="000000" w:themeColor="text1"/>
                        <w14:textFill>
                          <w14:solidFill>
                            <w14:schemeClr w14:val="tx1"/>
                          </w14:solidFill>
                        </w14:textFill>
                      </w:rPr>
                    </m:ctrlPr>
                  </m:fPr>
                  <m:num>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m:rPr>
                            <m:sty m:val="p"/>
                          </m:rP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ctrlPr>
                      <w:rPr>
                        <w:rFonts w:hint="eastAsia" w:ascii="Cambria Math" w:hAnsi="Cambria Math"/>
                        <w:color w:val="000000" w:themeColor="text1"/>
                        <w14:textFill>
                          <w14:solidFill>
                            <w14:schemeClr w14:val="tx1"/>
                          </w14:solidFill>
                        </w14:textFill>
                      </w:rPr>
                    </m:ctrlPr>
                  </m:num>
                  <m:den>
                    <m:r>
                      <m:rPr>
                        <m:sty m:val="p"/>
                      </m:rPr>
                      <w:rPr>
                        <w:rFonts w:hint="eastAsia" w:ascii="Cambria Math" w:hAnsi="Cambria Math"/>
                        <w:color w:val="000000" w:themeColor="text1"/>
                        <w14:textFill>
                          <w14:solidFill>
                            <w14:schemeClr w14:val="tx1"/>
                          </w14:solidFill>
                        </w14:textFill>
                      </w:rPr>
                      <m:t>60%</m:t>
                    </m:r>
                    <m:ctrlPr>
                      <w:rPr>
                        <w:rFonts w:hint="eastAsia" w:ascii="Cambria Math" w:hAnsi="Cambria Math"/>
                        <w:color w:val="000000" w:themeColor="text1"/>
                        <w14:textFill>
                          <w14:solidFill>
                            <w14:schemeClr w14:val="tx1"/>
                          </w14:solidFill>
                        </w14:textFill>
                      </w:rPr>
                    </m:ctrlPr>
                  </m:den>
                </m:f>
                <m:r>
                  <m:rPr>
                    <m:sty m:val="p"/>
                  </m:rPr>
                  <w:rPr>
                    <w:rFonts w:hint="eastAsia" w:ascii="Cambria Math" w:hAnsi="Cambria Math"/>
                    <w:color w:val="000000" w:themeColor="text1"/>
                    <w14:textFill>
                      <w14:solidFill>
                        <w14:schemeClr w14:val="tx1"/>
                      </w14:solidFill>
                    </w14:textFill>
                  </w:rPr>
                  <m:t>×40%</m:t>
                </m:r>
                <m:ctrlPr>
                  <w:rPr>
                    <w:rFonts w:hint="eastAsia" w:ascii="Cambria Math" w:hAnsi="Cambria Math"/>
                    <w:color w:val="000000" w:themeColor="text1"/>
                    <w14:textFill>
                      <w14:solidFill>
                        <w14:schemeClr w14:val="tx1"/>
                      </w14:solidFill>
                    </w14:textFill>
                  </w:rPr>
                </m:ctrlPr>
              </m:e>
            </m:eqArr>
            <m:ctrlPr>
              <w:rPr>
                <w:rFonts w:hint="eastAsia" w:ascii="Cambria Math" w:hAnsi="Cambria Math"/>
                <w:color w:val="000000" w:themeColor="text1"/>
                <w14:textFill>
                  <w14:solidFill>
                    <w14:schemeClr w14:val="tx1"/>
                  </w14:solidFill>
                </w14:textFill>
              </w:rPr>
            </m:ctrlPr>
          </m:e>
        </m:d>
      </m:oMath>
    </w:p>
    <w:p>
      <w:pPr>
        <w:rPr>
          <w:rFonts w:ascii="仿宋_GB2312" w:hAnsi="仿宋"/>
          <w:color w:val="000000" w:themeColor="text1"/>
          <w14:textFill>
            <w14:solidFill>
              <w14:schemeClr w14:val="tx1"/>
            </w14:solidFill>
          </w14:textFill>
        </w:rPr>
      </w:pPr>
      <m:oMath>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w:rPr>
                <w:rFonts w:hint="eastAsia" w:ascii="Cambria Math" w:hAnsi="Cambria Math"/>
                <w:color w:val="000000" w:themeColor="text1"/>
                <w14:textFill>
                  <w14:solidFill>
                    <w14:schemeClr w14:val="tx1"/>
                  </w14:solidFill>
                </w14:textFill>
              </w:rPr>
              <m:t>纸</m:t>
            </m:r>
            <m:ctrlPr>
              <w:rPr>
                <w:rFonts w:hint="eastAsia" w:ascii="Cambria Math" w:hAnsi="Cambria Math"/>
                <w:color w:val="000000" w:themeColor="text1"/>
                <w14:textFill>
                  <w14:solidFill>
                    <w14:schemeClr w14:val="tx1"/>
                  </w14:solidFill>
                </w14:textFill>
              </w:rPr>
            </m:ctrlPr>
          </m:sub>
        </m:sSub>
      </m:oMath>
      <w:r>
        <w:rPr>
          <w:rFonts w:hint="eastAsia" w:ascii="仿宋_GB2312"/>
          <w:color w:val="000000" w:themeColor="text1"/>
          <w14:textFill>
            <w14:solidFill>
              <w14:schemeClr w14:val="tx1"/>
            </w14:solidFill>
          </w14:textFill>
        </w:rPr>
        <w:t>：</w:t>
      </w:r>
      <w:r>
        <w:rPr>
          <w:rFonts w:hint="eastAsia" w:ascii="仿宋_GB2312" w:hAnsi="仿宋"/>
          <w:color w:val="000000" w:themeColor="text1"/>
          <w14:textFill>
            <w14:solidFill>
              <w14:schemeClr w14:val="tx1"/>
            </w14:solidFill>
          </w14:textFill>
        </w:rPr>
        <w:t>图书总数</w:t>
      </w:r>
    </w:p>
    <w:p>
      <w:pPr>
        <w:rPr>
          <w:color w:val="000000" w:themeColor="text1"/>
          <w14:textFill>
            <w14:solidFill>
              <w14:schemeClr w14:val="tx1"/>
            </w14:solidFill>
          </w14:textFill>
        </w:rPr>
      </w:pPr>
      <m:oMath>
        <m:sSub>
          <m:sSubPr>
            <m:ctrlPr>
              <w:rPr>
                <w:rFonts w:hint="eastAsia" w:ascii="Cambria Math" w:hAnsi="Cambria Math"/>
                <w:color w:val="000000" w:themeColor="text1"/>
                <w14:textFill>
                  <w14:solidFill>
                    <w14:schemeClr w14:val="tx1"/>
                  </w14:solidFill>
                </w14:textFill>
              </w:rPr>
            </m:ctrlPr>
          </m:sSubPr>
          <m:e>
            <m:r>
              <w:rPr>
                <w:rFonts w:hint="eastAsia" w:ascii="Cambria Math" w:hAnsi="Cambria Math"/>
                <w:color w:val="000000" w:themeColor="text1"/>
                <w14:textFill>
                  <w14:solidFill>
                    <w14:schemeClr w14:val="tx1"/>
                  </w14:solidFill>
                </w14:textFill>
              </w:rPr>
              <m:t>T</m:t>
            </m:r>
            <m:ctrlPr>
              <w:rPr>
                <w:rFonts w:hint="eastAsia" w:ascii="Cambria Math" w:hAnsi="Cambria Math"/>
                <w:color w:val="000000" w:themeColor="text1"/>
                <w14:textFill>
                  <w14:solidFill>
                    <w14:schemeClr w14:val="tx1"/>
                  </w14:solidFill>
                </w14:textFill>
              </w:rPr>
            </m:ctrlPr>
          </m:e>
          <m:sub>
            <m:r>
              <w:rPr>
                <w:rFonts w:hint="eastAsia" w:ascii="Cambria Math" w:hAnsi="Cambria Math"/>
                <w:color w:val="000000" w:themeColor="text1"/>
                <w14:textFill>
                  <w14:solidFill>
                    <w14:schemeClr w14:val="tx1"/>
                  </w14:solidFill>
                </w14:textFill>
              </w:rPr>
              <m:t>电</m:t>
            </m:r>
            <m:ctrlPr>
              <w:rPr>
                <w:rFonts w:hint="eastAsia" w:ascii="Cambria Math" w:hAnsi="Cambria Math"/>
                <w:color w:val="000000" w:themeColor="text1"/>
                <w14:textFill>
                  <w14:solidFill>
                    <w14:schemeClr w14:val="tx1"/>
                  </w14:solidFill>
                </w14:textFill>
              </w:rPr>
            </m:ctrlPr>
          </m:sub>
        </m:sSub>
      </m:oMath>
      <w:r>
        <w:rPr>
          <w:rFonts w:hint="eastAsia" w:ascii="仿宋_GB2312"/>
          <w:color w:val="000000" w:themeColor="text1"/>
          <w14:textFill>
            <w14:solidFill>
              <w14:schemeClr w14:val="tx1"/>
            </w14:solidFill>
          </w14:textFill>
        </w:rPr>
        <w:t>：数字资源量</w:t>
      </w:r>
      <w:r>
        <w:rPr>
          <w:rFonts w:hint="eastAsia"/>
          <w:color w:val="000000" w:themeColor="text1"/>
          <w14:textFill>
            <w14:solidFill>
              <w14:schemeClr w14:val="tx1"/>
            </w14:solidFill>
          </w14:textFill>
        </w:rPr>
        <w:t>=电子图书（册）+电子期刊（册）+学位论文（册）+音视频（小时）（音视频1小时算1册电子图书）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生均图书值越高说明学校的图书资源越丰富，丰富的图书资源</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增加学生获取知识的途径，有利于学生拓宽视野，增加阅历。各地教育部门应指导各级学校参照执行</w:t>
      </w:r>
      <w:r>
        <w:rPr>
          <w:rFonts w:hint="eastAsia"/>
          <w:color w:val="000000" w:themeColor="text1"/>
          <w14:textFill>
            <w14:solidFill>
              <w14:schemeClr w14:val="tx1"/>
            </w14:solidFill>
          </w14:textFill>
        </w:rPr>
        <w:t>国家相关标准和规定</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该指标只反映生均图书数量情况，不能反映图书的使用效果。</w:t>
      </w:r>
      <w:r>
        <w:rPr>
          <w:color w:val="000000" w:themeColor="text1"/>
          <w14:textFill>
            <w14:solidFill>
              <w14:schemeClr w14:val="tx1"/>
            </w14:solidFill>
          </w14:textFill>
        </w:rPr>
        <w:t>注意生均办学条件指标计算时不同类型学校（机构）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（1）幼儿园生均图书（册/生）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=幼儿园图书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/幼儿园在园幼儿总数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=小学图书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=初中图书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=普通高中图书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（5）特殊教育学校生均图书（册/生）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=特殊教育学校图书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/特殊教育学校在校生总数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=中等职业学校图书</w:t>
      </w:r>
      <w:r>
        <w:rPr>
          <w:rFonts w:hint="eastAsia"/>
          <w:color w:val="000000" w:themeColor="text1"/>
          <w14:textFill>
            <w14:solidFill>
              <w14:schemeClr w14:val="tx1"/>
            </w14:solidFill>
          </w14:textFill>
        </w:rPr>
        <w:t>资源总量</w:t>
      </w:r>
      <w:r>
        <w:rPr>
          <w:color w:val="000000" w:themeColor="text1"/>
          <w14:textFill>
            <w14:solidFill>
              <w14:schemeClr w14:val="tx1"/>
            </w14:solidFill>
          </w14:textFill>
        </w:rPr>
        <w:t>/中等职业学校在校生总数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（7）普通高校生均图书（册/生）</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图书资源总量</w:t>
      </w:r>
      <w:r>
        <w:rPr>
          <w:color w:val="000000" w:themeColor="text1"/>
          <w14:textFill>
            <w14:solidFill>
              <w14:schemeClr w14:val="tx1"/>
            </w14:solidFill>
          </w14:textFill>
        </w:rPr>
        <w:t>/普通高校折合在校生数</w:t>
      </w:r>
    </w:p>
    <w:p>
      <w:pPr>
        <w:pStyle w:val="3"/>
        <w:rPr>
          <w:color w:val="000000" w:themeColor="text1"/>
          <w14:textFill>
            <w14:solidFill>
              <w14:schemeClr w14:val="tx1"/>
            </w14:solidFill>
          </w14:textFill>
        </w:rPr>
      </w:pPr>
      <w:bookmarkStart w:id="185" w:name="_Toc59961186"/>
      <w:bookmarkStart w:id="186" w:name="_Toc54862052"/>
      <w:bookmarkStart w:id="187" w:name="_Toc398192943"/>
      <w:r>
        <w:rPr>
          <w:color w:val="000000" w:themeColor="text1"/>
          <w14:textFill>
            <w14:solidFill>
              <w14:schemeClr w14:val="tx1"/>
            </w14:solidFill>
          </w14:textFill>
        </w:rPr>
        <w:t>80</w:t>
      </w:r>
      <w:r>
        <w:rPr>
          <w:rFonts w:hint="eastAsia"/>
          <w:color w:val="000000" w:themeColor="text1"/>
          <w14:textFill>
            <w14:solidFill>
              <w14:schemeClr w14:val="tx1"/>
            </w14:solidFill>
          </w14:textFill>
        </w:rPr>
        <w:t>. 幼儿园玩教具配备达标率（%）</w:t>
      </w:r>
      <w:bookmarkEnd w:id="185"/>
      <w:bookmarkEnd w:id="18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幼儿园玩教具配备达标率，是指玩教具配备达标的幼儿园占幼儿园总数的百分比。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反映幼儿园玩教具配备情况，可作为教育质量类指标。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幼儿园玩教具配备达标率=玩教具配备达标幼儿园数/幼儿园总数*100%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分城乡；分办别；分营利性质</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r>
        <w:rPr>
          <w:rFonts w:hint="eastAsia"/>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幼儿园玩教具配备达标率高说明更多幼儿园可以为幼儿提供丰富的教育保育资源，保障学前教育质量。</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该指标只能反映幼儿园玩教具配备达到规定标准的情况，不能说明玩教具的使用效率，玩教具的合理运用也会影响教育质量。</w:t>
      </w:r>
    </w:p>
    <w:p>
      <w:pPr>
        <w:pStyle w:val="3"/>
        <w:rPr>
          <w:color w:val="000000" w:themeColor="text1"/>
          <w14:textFill>
            <w14:solidFill>
              <w14:schemeClr w14:val="tx1"/>
            </w14:solidFill>
          </w14:textFill>
        </w:rPr>
      </w:pPr>
      <w:bookmarkStart w:id="188" w:name="_Toc59961187"/>
      <w:r>
        <w:rPr>
          <w:color w:val="000000" w:themeColor="text1"/>
          <w14:textFill>
            <w14:solidFill>
              <w14:schemeClr w14:val="tx1"/>
            </w14:solidFill>
          </w14:textFill>
        </w:rPr>
        <w:t>81. 生均教学仪器设备值（元/生）</w:t>
      </w:r>
      <w:bookmarkEnd w:id="187"/>
      <w:bookmarkEnd w:id="18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生均教学仪器设备值</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是指某一级教育教学仪器设备总资产值与该级教育在校生总数之比。教学仪器设备资产值是指学校固定资产中用于教学、实验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实习、科研等仪器设备的资产值。</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spacing w:val="-4"/>
          <w14:textFill>
            <w14:solidFill>
              <w14:schemeClr w14:val="tx1"/>
            </w14:solidFill>
          </w14:textFill>
        </w:rPr>
        <w:t>该指标反映学校教学仪器设备充足程度，可作为教育条件保障类</w:t>
      </w:r>
      <w:r>
        <w:rPr>
          <w:rFonts w:hint="eastAsia"/>
          <w:color w:val="000000" w:themeColor="text1"/>
          <w:spacing w:val="-4"/>
          <w14:textFill>
            <w14:solidFill>
              <w14:schemeClr w14:val="tx1"/>
            </w14:solidFill>
          </w14:textFill>
        </w:rPr>
        <w:t>和教育质量类</w:t>
      </w:r>
      <w:r>
        <w:rPr>
          <w:color w:val="000000" w:themeColor="text1"/>
          <w:spacing w:val="-4"/>
          <w14:textFill>
            <w14:solidFill>
              <w14:schemeClr w14:val="tx1"/>
            </w14:solidFill>
          </w14:textFill>
        </w:rPr>
        <w:t>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生均教学仪器设备值=某一级教育教学仪器设备资产</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值/该级教育在校生总数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生均教学仪器设备资产值越高，说明学校教学仪器设备资源越充足，而充足的教学仪器设备有助于提高教师的教学效率。各地教育部门应指导各级学校参照</w:t>
      </w:r>
      <w:r>
        <w:rPr>
          <w:rFonts w:hint="eastAsia"/>
          <w:color w:val="000000" w:themeColor="text1"/>
          <w14:textFill>
            <w14:solidFill>
              <w14:schemeClr w14:val="tx1"/>
            </w14:solidFill>
          </w14:textFill>
        </w:rPr>
        <w:t>最新国家或地方标准和规定进行监测</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注意</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指标计算时</w:t>
      </w:r>
      <w:r>
        <w:rPr>
          <w:rFonts w:hint="eastAsia"/>
          <w:color w:val="000000" w:themeColor="text1"/>
          <w14:textFill>
            <w14:solidFill>
              <w14:schemeClr w14:val="tx1"/>
            </w14:solidFill>
          </w14:textFill>
        </w:rPr>
        <w:t>会受到</w:t>
      </w:r>
      <w:r>
        <w:rPr>
          <w:color w:val="000000" w:themeColor="text1"/>
          <w14:textFill>
            <w14:solidFill>
              <w14:schemeClr w14:val="tx1"/>
            </w14:solidFill>
          </w14:textFill>
        </w:rPr>
        <w:t>不同类型学校（机构）</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办学条件在各级教育中归属</w:t>
      </w:r>
      <w:r>
        <w:rPr>
          <w:rFonts w:hint="eastAsia"/>
          <w:color w:val="000000" w:themeColor="text1"/>
          <w14:textFill>
            <w14:solidFill>
              <w14:schemeClr w14:val="tx1"/>
            </w14:solidFill>
          </w14:textFill>
        </w:rPr>
        <w:t>方法</w:t>
      </w:r>
      <w:r>
        <w:rPr>
          <w:color w:val="000000" w:themeColor="text1"/>
          <w14:textFill>
            <w14:solidFill>
              <w14:schemeClr w14:val="tx1"/>
            </w14:solidFill>
          </w14:textFill>
        </w:rPr>
        <w:t>的影响。</w:t>
      </w:r>
      <w:r>
        <w:rPr>
          <w:rFonts w:hint="eastAsia"/>
          <w:color w:val="000000" w:themeColor="text1"/>
          <w14:textFill>
            <w14:solidFill>
              <w14:schemeClr w14:val="tx1"/>
            </w14:solidFill>
          </w14:textFill>
        </w:rPr>
        <w:t>另外</w:t>
      </w:r>
      <w:r>
        <w:rPr>
          <w:color w:val="000000" w:themeColor="text1"/>
          <w14:textFill>
            <w14:solidFill>
              <w14:schemeClr w14:val="tx1"/>
            </w14:solidFill>
          </w14:textFill>
        </w:rPr>
        <w:t>对于全国及各地区，</w:t>
      </w:r>
      <w:r>
        <w:rPr>
          <w:rFonts w:hint="eastAsia"/>
          <w:color w:val="000000" w:themeColor="text1"/>
          <w14:textFill>
            <w14:solidFill>
              <w14:schemeClr w14:val="tx1"/>
            </w14:solidFill>
          </w14:textFill>
        </w:rPr>
        <w:t>生均</w:t>
      </w:r>
      <w:r>
        <w:rPr>
          <w:color w:val="000000" w:themeColor="text1"/>
          <w14:textFill>
            <w14:solidFill>
              <w14:schemeClr w14:val="tx1"/>
            </w14:solidFill>
          </w14:textFill>
        </w:rPr>
        <w:t>指标只能反映</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趋势，不能体现校际间的差异。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（1）小学生均教学仪器设备值（元/生）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=小学教学仪器设备总资产值/小学在校生总数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（2）初中生均教学仪器设备值（元/生）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=初中教学仪器设备总资产值/初中在校生总数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（3）普通高中生均教学仪器设备值（元/生）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=普通高中教学仪器设备总资产值/普通高中在校生总数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（4）中等职业学校生均教学与实习仪器设备值（元/生）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=中等职业学校教学</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实习仪器设备总资产值/中等职业学校在校生总数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（5）普通高校生均教学与科研仪器设备值（元/生）</w:t>
      </w:r>
    </w:p>
    <w:p>
      <w:pPr>
        <w:rPr>
          <w:color w:val="000000" w:themeColor="text1"/>
          <w14:textFill>
            <w14:solidFill>
              <w14:schemeClr w14:val="tx1"/>
            </w14:solidFill>
          </w14:textFill>
        </w:rPr>
      </w:pPr>
      <w:r>
        <w:rPr>
          <w:color w:val="000000" w:themeColor="text1"/>
          <w14:textFill>
            <w14:solidFill>
              <w14:schemeClr w14:val="tx1"/>
            </w14:solidFill>
          </w14:textFill>
        </w:rPr>
        <w:t>=普通高校教学</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科研仪器设备总资产值/普通高校折合在校生数</w:t>
      </w:r>
    </w:p>
    <w:p>
      <w:pPr>
        <w:pStyle w:val="3"/>
        <w:rPr>
          <w:color w:val="000000" w:themeColor="text1"/>
          <w14:textFill>
            <w14:solidFill>
              <w14:schemeClr w14:val="tx1"/>
            </w14:solidFill>
          </w14:textFill>
        </w:rPr>
      </w:pPr>
      <w:bookmarkStart w:id="189" w:name="_Toc398192944"/>
      <w:bookmarkStart w:id="190" w:name="_Toc59961188"/>
      <w:r>
        <w:rPr>
          <w:color w:val="000000" w:themeColor="text1"/>
          <w14:textFill>
            <w14:solidFill>
              <w14:schemeClr w14:val="tx1"/>
            </w14:solidFill>
          </w14:textFill>
        </w:rPr>
        <w:t>82. 中（小）学体育器械配备达标率（%）</w:t>
      </w:r>
      <w:bookmarkEnd w:id="189"/>
      <w:bookmarkEnd w:id="19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中（小）学体育器械配备达标率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是指中（小）学体育器械配备达标的学校数占中（小）学学校总数的百分比。</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spacing w:val="-4"/>
          <w14:textFill>
            <w14:solidFill>
              <w14:schemeClr w14:val="tx1"/>
            </w14:solidFill>
          </w14:textFill>
        </w:rPr>
        <w:t>该指标</w:t>
      </w:r>
      <w:r>
        <w:rPr>
          <w:rFonts w:hint="eastAsia"/>
          <w:color w:val="000000" w:themeColor="text1"/>
          <w:spacing w:val="-4"/>
          <w14:textFill>
            <w14:solidFill>
              <w14:schemeClr w14:val="tx1"/>
            </w14:solidFill>
          </w14:textFill>
        </w:rPr>
        <w:t>可</w:t>
      </w:r>
      <w:r>
        <w:rPr>
          <w:color w:val="000000" w:themeColor="text1"/>
          <w:spacing w:val="-4"/>
          <w14:textFill>
            <w14:solidFill>
              <w14:schemeClr w14:val="tx1"/>
            </w14:solidFill>
          </w14:textFill>
        </w:rPr>
        <w:t>反映中（小）学学校体育器械配备达标情况，可作为教育条件保障类指标。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中（小）学体育器械配备达标率=中（小）学体育器械配备达标的学校数/中（小）学学校总数*100%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中（小）学体育器械配备达标率高，说明中（小）学校体育器械配备达到国家</w:t>
      </w:r>
      <w:r>
        <w:rPr>
          <w:rFonts w:hint="eastAsia"/>
          <w:color w:val="000000" w:themeColor="text1"/>
          <w14:textFill>
            <w14:solidFill>
              <w14:schemeClr w14:val="tx1"/>
            </w14:solidFill>
          </w14:textFill>
        </w:rPr>
        <w:t>或地方规定</w:t>
      </w:r>
      <w:r>
        <w:rPr>
          <w:color w:val="000000" w:themeColor="text1"/>
          <w14:textFill>
            <w14:solidFill>
              <w14:schemeClr w14:val="tx1"/>
            </w14:solidFill>
          </w14:textFill>
        </w:rPr>
        <w:t>标准的</w:t>
      </w:r>
      <w:r>
        <w:rPr>
          <w:rFonts w:hint="eastAsia"/>
          <w:color w:val="000000" w:themeColor="text1"/>
          <w14:textFill>
            <w14:solidFill>
              <w14:schemeClr w14:val="tx1"/>
            </w14:solidFill>
          </w14:textFill>
        </w:rPr>
        <w:t>学校比例高</w:t>
      </w:r>
      <w:r>
        <w:rPr>
          <w:color w:val="000000" w:themeColor="text1"/>
          <w14:textFill>
            <w14:solidFill>
              <w14:schemeClr w14:val="tx1"/>
            </w14:solidFill>
          </w14:textFill>
        </w:rPr>
        <w:t>，能够保证体育教学的质量，更好地提升学生身体素质。</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该指标主要反映中（小）学学校体育器械配备达到国家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（1）小学体育器械配备达标率（%）</w:t>
      </w:r>
    </w:p>
    <w:p>
      <w:pPr>
        <w:rPr>
          <w:color w:val="000000" w:themeColor="text1"/>
          <w14:textFill>
            <w14:solidFill>
              <w14:schemeClr w14:val="tx1"/>
            </w14:solidFill>
          </w14:textFill>
        </w:rPr>
      </w:pPr>
      <w:r>
        <w:rPr>
          <w:color w:val="000000" w:themeColor="text1"/>
          <w14:textFill>
            <w14:solidFill>
              <w14:schemeClr w14:val="tx1"/>
            </w14:solidFill>
          </w14:textFill>
        </w:rPr>
        <w:t>=小学体育器械配备达标的学校数/小学学校总数*100%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（2）初中体育器械配备达标率（%）</w:t>
      </w:r>
    </w:p>
    <w:p>
      <w:pPr>
        <w:rPr>
          <w:color w:val="000000" w:themeColor="text1"/>
          <w14:textFill>
            <w14:solidFill>
              <w14:schemeClr w14:val="tx1"/>
            </w14:solidFill>
          </w14:textFill>
        </w:rPr>
      </w:pPr>
      <w:r>
        <w:rPr>
          <w:color w:val="000000" w:themeColor="text1"/>
          <w14:textFill>
            <w14:solidFill>
              <w14:schemeClr w14:val="tx1"/>
            </w14:solidFill>
          </w14:textFill>
        </w:rPr>
        <w:t>=初中体育器械配备达标的学校数/初中学校总数*100%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（3）普通高中体育器械配备达标率（%）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=普通高中体育器械配备达标的学校数/普通高中学校总数*100%</w:t>
      </w:r>
    </w:p>
    <w:p>
      <w:pPr>
        <w:pStyle w:val="3"/>
        <w:rPr>
          <w:color w:val="000000" w:themeColor="text1"/>
          <w14:textFill>
            <w14:solidFill>
              <w14:schemeClr w14:val="tx1"/>
            </w14:solidFill>
          </w14:textFill>
        </w:rPr>
      </w:pPr>
      <w:bookmarkStart w:id="191" w:name="_Toc398192945"/>
      <w:bookmarkStart w:id="192" w:name="_Toc59961189"/>
      <w:r>
        <w:rPr>
          <w:color w:val="000000" w:themeColor="text1"/>
          <w14:textFill>
            <w14:solidFill>
              <w14:schemeClr w14:val="tx1"/>
            </w14:solidFill>
          </w14:textFill>
        </w:rPr>
        <w:t>83. 中（小）学音乐器材配备达标率（%）</w:t>
      </w:r>
      <w:bookmarkEnd w:id="191"/>
      <w:bookmarkEnd w:id="192"/>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中（小）学音乐器材配备达标率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是指中（小）学音乐器材配备达标的学校数占中（小）学学校总数的百分比。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反映学校音乐器材配备达标情况，可作为教育条件保障类指标。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中（小）学音乐器材配备达标率=中（小）学音乐器材配备达标的学校数/中（小）学学校总数*100%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中（小）学音乐器材配备达标率高，说明中（小）学校音乐器材配备达到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规定标准的学校比例高，有助于保障音乐教学的质量，提升学生的音乐素养。</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该指标主要反映中（小）学学校音乐器材配备达到国家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（1）小学音乐器材配备达标率（%）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=小学音乐器材配备达标的学校数/小学学校总数*100%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（2）初中音乐器材配备达标率（%）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=初中音乐器材配备达标的学校数/初中学校总数*100%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（3）普通高中音乐器材配备达标率（%）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=普通高中音乐器材配备达标的学校数/普通高中学校总数*100%</w:t>
      </w:r>
    </w:p>
    <w:p>
      <w:pPr>
        <w:pStyle w:val="3"/>
        <w:rPr>
          <w:color w:val="000000" w:themeColor="text1"/>
          <w14:textFill>
            <w14:solidFill>
              <w14:schemeClr w14:val="tx1"/>
            </w14:solidFill>
          </w14:textFill>
        </w:rPr>
      </w:pPr>
      <w:bookmarkStart w:id="193" w:name="_Toc59961190"/>
      <w:bookmarkStart w:id="194" w:name="_Toc398192946"/>
      <w:r>
        <w:rPr>
          <w:color w:val="000000" w:themeColor="text1"/>
          <w14:textFill>
            <w14:solidFill>
              <w14:schemeClr w14:val="tx1"/>
            </w14:solidFill>
          </w14:textFill>
        </w:rPr>
        <w:t>84. 中（小）学美术器材配备达标率（%）</w:t>
      </w:r>
      <w:bookmarkEnd w:id="193"/>
      <w:bookmarkEnd w:id="19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中（小）学美术器材配备达标率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是指中（小）学美术器材配备达标的学校数占中（小）学学校总数的百分比。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反映学校美术器材配备达标情况，可作为教育条件保障类指标。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中（小）学美术器材配备达标率=中（小）学美术器材配备达标的学校数/中（小）学学校总数*100%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中（小）学美术器材配备达标率高，说明中（小）学校美术器材配备达到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规定标准的学校比例高，有助于保障美术教学的质量，提升学生的美术素养。</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ascii="黑体" w:hAnsi="黑体" w:eastAsia="黑体"/>
          <w:b/>
          <w:color w:val="000000" w:themeColor="text1"/>
          <w14:textFill>
            <w14:solidFill>
              <w14:schemeClr w14:val="tx1"/>
            </w14:solidFill>
          </w14:textFill>
        </w:rPr>
        <w:t xml:space="preserve"> </w:t>
      </w:r>
      <w:r>
        <w:rPr>
          <w:color w:val="000000" w:themeColor="text1"/>
          <w14:textFill>
            <w14:solidFill>
              <w14:schemeClr w14:val="tx1"/>
            </w14:solidFill>
          </w14:textFill>
        </w:rPr>
        <w:t>该指标主要反映中（小）学学校</w:t>
      </w:r>
      <w:r>
        <w:rPr>
          <w:rFonts w:hint="eastAsia"/>
          <w:color w:val="000000" w:themeColor="text1"/>
          <w14:textFill>
            <w14:solidFill>
              <w14:schemeClr w14:val="tx1"/>
            </w14:solidFill>
          </w14:textFill>
        </w:rPr>
        <w:t>美术器</w:t>
      </w:r>
      <w:r>
        <w:rPr>
          <w:color w:val="000000" w:themeColor="text1"/>
          <w14:textFill>
            <w14:solidFill>
              <w14:schemeClr w14:val="tx1"/>
            </w14:solidFill>
          </w14:textFill>
        </w:rPr>
        <w:t>材配备达到国家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（1）小学美术器材配备达标率（%）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=小学美术器材配备达标的学校数/小学学校总数*100%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（2）初中美术器材配备达标率（%）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=初中美术器材配备达标的学校数/初中学校总数*100%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（3）普通高中美术器材配备达标率（%）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=普通高中美术器材配备达标的学校数/普通高中学校总数*100%</w:t>
      </w:r>
    </w:p>
    <w:p>
      <w:pPr>
        <w:pStyle w:val="3"/>
        <w:rPr>
          <w:color w:val="000000" w:themeColor="text1"/>
          <w14:textFill>
            <w14:solidFill>
              <w14:schemeClr w14:val="tx1"/>
            </w14:solidFill>
          </w14:textFill>
        </w:rPr>
      </w:pPr>
      <w:bookmarkStart w:id="195" w:name="_Toc398192947"/>
      <w:bookmarkStart w:id="196" w:name="_Toc59961191"/>
      <w:r>
        <w:rPr>
          <w:color w:val="000000" w:themeColor="text1"/>
          <w14:textFill>
            <w14:solidFill>
              <w14:schemeClr w14:val="tx1"/>
            </w14:solidFill>
          </w14:textFill>
        </w:rPr>
        <w:t>85. 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w:t>
      </w:r>
      <w:bookmarkEnd w:id="195"/>
      <w:bookmarkEnd w:id="19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是指小学数学</w:t>
      </w:r>
      <w:r>
        <w:rPr>
          <w:rFonts w:hint="eastAsia"/>
          <w:color w:val="000000" w:themeColor="text1"/>
          <w14:textFill>
            <w14:solidFill>
              <w14:schemeClr w14:val="tx1"/>
            </w14:solidFill>
          </w14:textFill>
        </w:rPr>
        <w:t>和科学</w:t>
      </w:r>
      <w:r>
        <w:rPr>
          <w:color w:val="000000" w:themeColor="text1"/>
          <w14:textFill>
            <w14:solidFill>
              <w14:schemeClr w14:val="tx1"/>
            </w14:solidFill>
          </w14:textFill>
        </w:rPr>
        <w:t>实验仪器</w:t>
      </w:r>
      <w:r>
        <w:rPr>
          <w:rFonts w:hint="eastAsia"/>
          <w:color w:val="000000" w:themeColor="text1"/>
          <w14:textFill>
            <w14:solidFill>
              <w14:schemeClr w14:val="tx1"/>
            </w14:solidFill>
          </w14:textFill>
        </w:rPr>
        <w:t>配备</w:t>
      </w:r>
      <w:r>
        <w:rPr>
          <w:color w:val="000000" w:themeColor="text1"/>
          <w14:textFill>
            <w14:solidFill>
              <w14:schemeClr w14:val="tx1"/>
            </w14:solidFill>
          </w14:textFill>
        </w:rPr>
        <w:t>达标的学校数占小学学校总数的百分比。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实验仪器达标率=小学数学</w:t>
      </w:r>
      <w:r>
        <w:rPr>
          <w:rFonts w:hint="eastAsia"/>
          <w:color w:val="000000" w:themeColor="text1"/>
          <w14:textFill>
            <w14:solidFill>
              <w14:schemeClr w14:val="tx1"/>
            </w14:solidFill>
          </w14:textFill>
        </w:rPr>
        <w:t>与科学</w:t>
      </w:r>
      <w:r>
        <w:rPr>
          <w:color w:val="000000" w:themeColor="text1"/>
          <w14:textFill>
            <w14:solidFill>
              <w14:schemeClr w14:val="tx1"/>
            </w14:solidFill>
          </w14:textFill>
        </w:rPr>
        <w:t>实验仪器达标学校数/小学学校总数*100%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实验仪器达标率高，说明小学数学</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实验仪器的配备达到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规定标准的学校比例高，有助于保障小学数学和</w:t>
      </w:r>
      <w:r>
        <w:rPr>
          <w:rFonts w:hint="eastAsia"/>
          <w:color w:val="000000" w:themeColor="text1"/>
          <w14:textFill>
            <w14:solidFill>
              <w14:schemeClr w14:val="tx1"/>
            </w14:solidFill>
          </w14:textFill>
        </w:rPr>
        <w:t>科学</w:t>
      </w:r>
      <w:r>
        <w:rPr>
          <w:color w:val="000000" w:themeColor="text1"/>
          <w14:textFill>
            <w14:solidFill>
              <w14:schemeClr w14:val="tx1"/>
            </w14:solidFill>
          </w14:textFill>
        </w:rPr>
        <w:t>学科的教学质量，提高教学效果。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学</w:t>
      </w:r>
      <w:r>
        <w:rPr>
          <w:rFonts w:hint="eastAsia"/>
          <w:color w:val="000000" w:themeColor="text1"/>
          <w14:textFill>
            <w14:solidFill>
              <w14:schemeClr w14:val="tx1"/>
            </w14:solidFill>
          </w14:textFill>
        </w:rPr>
        <w:t>数学、科学</w:t>
      </w:r>
      <w:r>
        <w:rPr>
          <w:color w:val="000000" w:themeColor="text1"/>
          <w14:textFill>
            <w14:solidFill>
              <w14:schemeClr w14:val="tx1"/>
            </w14:solidFill>
          </w14:textFill>
        </w:rPr>
        <w:t>仪器配备达到国家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3"/>
        <w:rPr>
          <w:color w:val="000000" w:themeColor="text1"/>
          <w14:textFill>
            <w14:solidFill>
              <w14:schemeClr w14:val="tx1"/>
            </w14:solidFill>
          </w14:textFill>
        </w:rPr>
      </w:pPr>
      <w:bookmarkStart w:id="197" w:name="_Toc59961192"/>
      <w:r>
        <w:rPr>
          <w:color w:val="000000" w:themeColor="text1"/>
          <w14:textFill>
            <w14:solidFill>
              <w14:schemeClr w14:val="tx1"/>
            </w14:solidFill>
          </w14:textFill>
        </w:rPr>
        <w:t>86</w:t>
      </w:r>
      <w:r>
        <w:rPr>
          <w:rFonts w:hint="eastAsia"/>
          <w:color w:val="000000" w:themeColor="text1"/>
          <w14:textFill>
            <w14:solidFill>
              <w14:schemeClr w14:val="tx1"/>
            </w14:solidFill>
          </w14:textFill>
        </w:rPr>
        <w:t>. 中学理科实验仪器达标率（%）</w:t>
      </w:r>
      <w:bookmarkEnd w:id="184"/>
      <w:bookmarkEnd w:id="197"/>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中学理科实验仪器达标率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是指中学理科实验仪器达标的学校数占中学学校总数的百分比。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该指标反映中学理科实验仪器达标情况，可作为教育条件保障类、教育质量类指标。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中学理科实验仪器达标率=中学理科实验仪器达标学校数/中学学校总数*100%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学段；分城乡；分办别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中学数学理科实验仪器达标率高，说明中学理科实验仪器配备达到</w:t>
      </w:r>
      <w:r>
        <w:rPr>
          <w:rFonts w:hint="eastAsia"/>
          <w:color w:val="000000" w:themeColor="text1"/>
          <w14:textFill>
            <w14:solidFill>
              <w14:schemeClr w14:val="tx1"/>
            </w14:solidFill>
          </w14:textFill>
        </w:rPr>
        <w:t>国家或地方</w:t>
      </w:r>
      <w:r>
        <w:rPr>
          <w:color w:val="000000" w:themeColor="text1"/>
          <w14:textFill>
            <w14:solidFill>
              <w14:schemeClr w14:val="tx1"/>
            </w14:solidFill>
          </w14:textFill>
        </w:rPr>
        <w:t>规定标准的学校比例高，有助于保障理科学科的教学质量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提高教学效果。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该指标主要反映中学理科实验仪器</w:t>
      </w:r>
      <w:r>
        <w:rPr>
          <w:color w:val="000000" w:themeColor="text1"/>
          <w14:textFill>
            <w14:solidFill>
              <w14:schemeClr w14:val="tx1"/>
            </w14:solidFill>
          </w14:textFill>
        </w:rPr>
        <w:t>配备达到国家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标准的比例，不能反映未达标学校与国家</w:t>
      </w:r>
      <w:r>
        <w:rPr>
          <w:rFonts w:hint="eastAsia"/>
          <w:color w:val="000000" w:themeColor="text1"/>
          <w14:textFill>
            <w14:solidFill>
              <w14:schemeClr w14:val="tx1"/>
            </w14:solidFill>
          </w14:textFill>
        </w:rPr>
        <w:t>或地方</w:t>
      </w:r>
      <w:r>
        <w:rPr>
          <w:color w:val="000000" w:themeColor="text1"/>
          <w14:textFill>
            <w14:solidFill>
              <w14:schemeClr w14:val="tx1"/>
            </w14:solidFill>
          </w14:textFill>
        </w:rPr>
        <w:t>标准之间的差距</w:t>
      </w:r>
      <w:r>
        <w:rPr>
          <w:rFonts w:hint="eastAsia"/>
          <w:color w:val="000000" w:themeColor="text1"/>
          <w14:textFill>
            <w14:solidFill>
              <w14:schemeClr w14:val="tx1"/>
            </w14:solidFill>
          </w14:textFill>
        </w:rPr>
        <w:t>，也会受到各地标准间差异的影响，比较时</w:t>
      </w:r>
      <w:r>
        <w:rPr>
          <w:color w:val="000000" w:themeColor="text1"/>
          <w14:textFill>
            <w14:solidFill>
              <w14:schemeClr w14:val="tx1"/>
            </w14:solidFill>
          </w14:textFill>
        </w:rPr>
        <w:t>须谨慎。</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（1）初中理科实验仪器达标率（%）</w:t>
      </w:r>
    </w:p>
    <w:p>
      <w:pPr>
        <w:rPr>
          <w:color w:val="000000" w:themeColor="text1"/>
          <w14:textFill>
            <w14:solidFill>
              <w14:schemeClr w14:val="tx1"/>
            </w14:solidFill>
          </w14:textFill>
        </w:rPr>
      </w:pPr>
      <w:r>
        <w:rPr>
          <w:color w:val="000000" w:themeColor="text1"/>
          <w14:textFill>
            <w14:solidFill>
              <w14:schemeClr w14:val="tx1"/>
            </w14:solidFill>
          </w14:textFill>
        </w:rPr>
        <w:t>=初中理科实验仪器达标学校数/初中学校总数*100%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（2）普通高中理科实验仪器达标率（%）</w:t>
      </w:r>
    </w:p>
    <w:p>
      <w:pPr>
        <w:rPr>
          <w:color w:val="000000" w:themeColor="text1"/>
          <w14:textFill>
            <w14:solidFill>
              <w14:schemeClr w14:val="tx1"/>
            </w14:solidFill>
          </w14:textFill>
        </w:rPr>
      </w:pPr>
      <w:r>
        <w:rPr>
          <w:color w:val="000000" w:themeColor="text1"/>
          <w14:textFill>
            <w14:solidFill>
              <w14:schemeClr w14:val="tx1"/>
            </w14:solidFill>
          </w14:textFill>
        </w:rPr>
        <w:t>=普通高中理科实验仪器达标学校数/普通高中学校总数*100%</w:t>
      </w:r>
    </w:p>
    <w:p>
      <w:pPr>
        <w:pStyle w:val="2"/>
        <w:rPr>
          <w:color w:val="000000" w:themeColor="text1"/>
          <w14:textFill>
            <w14:solidFill>
              <w14:schemeClr w14:val="tx1"/>
            </w14:solidFill>
          </w14:textFill>
        </w:rPr>
      </w:pPr>
      <w:bookmarkStart w:id="198" w:name="_Toc59961193"/>
      <w:r>
        <w:rPr>
          <w:rFonts w:hint="eastAsia"/>
          <w:color w:val="000000" w:themeColor="text1"/>
          <w14:textFill>
            <w14:solidFill>
              <w14:schemeClr w14:val="tx1"/>
            </w14:solidFill>
          </w14:textFill>
        </w:rPr>
        <w:t>（四）学校信息化建设</w:t>
      </w:r>
      <w:bookmarkEnd w:id="198"/>
    </w:p>
    <w:p>
      <w:pPr>
        <w:pStyle w:val="3"/>
        <w:rPr>
          <w:color w:val="000000" w:themeColor="text1"/>
          <w14:textFill>
            <w14:solidFill>
              <w14:schemeClr w14:val="tx1"/>
            </w14:solidFill>
          </w14:textFill>
        </w:rPr>
      </w:pPr>
      <w:bookmarkStart w:id="199" w:name="_Toc398192950"/>
      <w:bookmarkStart w:id="200" w:name="_Toc59961194"/>
      <w:bookmarkStart w:id="201" w:name="_Toc9848817"/>
      <w:r>
        <w:rPr>
          <w:color w:val="000000" w:themeColor="text1"/>
          <w14:textFill>
            <w14:solidFill>
              <w14:schemeClr w14:val="tx1"/>
            </w14:solidFill>
          </w14:textFill>
        </w:rPr>
        <w:t>87. 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bookmarkEnd w:id="199"/>
      <w:bookmarkEnd w:id="20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是指某一级教育每百名学生平均拥有的</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可监测和评价全国及各地教育信息化基本设施条件，</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信息化配备水平，可作为教育条件保障类指标。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每百名学生拥有</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数=某一级教育</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总数/该级教育在校生总数*100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分学段；分城乡（中等职业学校和普通高校除外）</w:t>
      </w:r>
      <w:r>
        <w:rPr>
          <w:rFonts w:hint="eastAsia"/>
          <w:color w:val="000000" w:themeColor="text1"/>
          <w14:textFill>
            <w14:solidFill>
              <w14:schemeClr w14:val="tx1"/>
            </w14:solidFill>
          </w14:textFill>
        </w:rPr>
        <w:t>；分办别</w:t>
      </w:r>
      <w:r>
        <w:rPr>
          <w:color w:val="000000" w:themeColor="text1"/>
          <w14:textFill>
            <w14:solidFill>
              <w14:schemeClr w14:val="tx1"/>
            </w14:solidFill>
          </w14:textFill>
        </w:rPr>
        <w:t xml:space="preserve"> </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构建以学习者为中心的全新教育生态需要</w:t>
      </w:r>
      <w:r>
        <w:rPr>
          <w:color w:val="000000" w:themeColor="text1"/>
          <w14:textFill>
            <w14:solidFill>
              <w14:schemeClr w14:val="tx1"/>
            </w14:solidFill>
          </w14:textFill>
        </w:rPr>
        <w:t>为学生提供</w:t>
      </w:r>
      <w:r>
        <w:rPr>
          <w:rFonts w:hint="eastAsia"/>
          <w:color w:val="000000" w:themeColor="text1"/>
          <w14:textFill>
            <w14:solidFill>
              <w14:schemeClr w14:val="tx1"/>
            </w14:solidFill>
          </w14:textFill>
        </w:rPr>
        <w:t>相应</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教学用</w:t>
      </w:r>
      <w:r>
        <w:rPr>
          <w:color w:val="000000" w:themeColor="text1"/>
          <w14:textFill>
            <w14:solidFill>
              <w14:schemeClr w14:val="tx1"/>
            </w14:solidFill>
          </w14:textFill>
        </w:rPr>
        <w:t>终端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该指标值高说明</w:t>
      </w:r>
      <w:r>
        <w:rPr>
          <w:rFonts w:hint="eastAsia"/>
          <w:color w:val="000000" w:themeColor="text1"/>
          <w14:textFill>
            <w14:solidFill>
              <w14:schemeClr w14:val="tx1"/>
            </w14:solidFill>
          </w14:textFill>
        </w:rPr>
        <w:t>服务于</w:t>
      </w:r>
      <w:r>
        <w:rPr>
          <w:color w:val="000000" w:themeColor="text1"/>
          <w14:textFill>
            <w14:solidFill>
              <w14:schemeClr w14:val="tx1"/>
            </w14:solidFill>
          </w14:textFill>
        </w:rPr>
        <w:t>学生学习活动的终端充足，能够满足学生</w:t>
      </w:r>
      <w:r>
        <w:rPr>
          <w:rFonts w:hint="eastAsia"/>
          <w:color w:val="000000" w:themeColor="text1"/>
          <w14:textFill>
            <w14:solidFill>
              <w14:schemeClr w14:val="tx1"/>
            </w14:solidFill>
          </w14:textFill>
        </w:rPr>
        <w:t>多样化</w:t>
      </w:r>
      <w:r>
        <w:rPr>
          <w:color w:val="000000" w:themeColor="text1"/>
          <w14:textFill>
            <w14:solidFill>
              <w14:schemeClr w14:val="tx1"/>
            </w14:solidFill>
          </w14:textFill>
        </w:rPr>
        <w:t>的学习需求。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教学用终端</w:t>
      </w:r>
      <w:r>
        <w:rPr>
          <w:color w:val="000000" w:themeColor="text1"/>
          <w14:textFill>
            <w14:solidFill>
              <w14:schemeClr w14:val="tx1"/>
            </w14:solidFill>
          </w14:textFill>
        </w:rPr>
        <w:t>数量的充足情况，不能体现实际</w:t>
      </w:r>
      <w:r>
        <w:rPr>
          <w:rFonts w:hint="eastAsia"/>
          <w:color w:val="000000" w:themeColor="text1"/>
          <w14:textFill>
            <w14:solidFill>
              <w14:schemeClr w14:val="tx1"/>
            </w14:solidFill>
          </w14:textFill>
        </w:rPr>
        <w:t>应用效果</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教学用终端总</w:t>
      </w:r>
      <w:r>
        <w:rPr>
          <w:color w:val="000000" w:themeColor="text1"/>
          <w14:textFill>
            <w14:solidFill>
              <w14:schemeClr w14:val="tx1"/>
            </w14:solidFill>
          </w14:textFill>
        </w:rPr>
        <w:t>数/小学在校生总数*100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初中</w:t>
      </w:r>
      <w:r>
        <w:rPr>
          <w:color w:val="000000" w:themeColor="text1"/>
          <w14:textFill>
            <w14:solidFill>
              <w14:schemeClr w14:val="tx1"/>
            </w14:solidFill>
          </w14:textFill>
        </w:rPr>
        <w:t>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中等</w:t>
      </w:r>
      <w:r>
        <w:rPr>
          <w:color w:val="000000" w:themeColor="text1"/>
          <w14:textFill>
            <w14:solidFill>
              <w14:schemeClr w14:val="tx1"/>
            </w14:solidFill>
          </w14:textFill>
        </w:rPr>
        <w:t>职业学校在校生总数*100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（5）普通高校每百名学生拥有</w:t>
      </w:r>
      <w:r>
        <w:rPr>
          <w:rFonts w:hint="eastAsia"/>
          <w:color w:val="000000" w:themeColor="text1"/>
          <w14:textFill>
            <w14:solidFill>
              <w14:schemeClr w14:val="tx1"/>
            </w14:solidFill>
          </w14:textFill>
        </w:rPr>
        <w:t>教学用终端数</w:t>
      </w:r>
      <w:r>
        <w:rPr>
          <w:color w:val="000000" w:themeColor="text1"/>
          <w14:textFill>
            <w14:solidFill>
              <w14:schemeClr w14:val="tx1"/>
            </w14:solidFill>
          </w14:textFill>
        </w:rPr>
        <w:t>（台/百人）</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教学用终端总数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折合</w:t>
      </w:r>
      <w:r>
        <w:rPr>
          <w:color w:val="000000" w:themeColor="text1"/>
          <w14:textFill>
            <w14:solidFill>
              <w14:schemeClr w14:val="tx1"/>
            </w14:solidFill>
          </w14:textFill>
        </w:rPr>
        <w:t>在校生数*100</w:t>
      </w:r>
    </w:p>
    <w:p>
      <w:pPr>
        <w:pStyle w:val="3"/>
        <w:rPr>
          <w:color w:val="000000" w:themeColor="text1"/>
          <w14:textFill>
            <w14:solidFill>
              <w14:schemeClr w14:val="tx1"/>
            </w14:solidFill>
          </w14:textFill>
        </w:rPr>
      </w:pPr>
      <w:bookmarkStart w:id="202" w:name="_Toc398192951"/>
      <w:bookmarkStart w:id="203" w:name="_Toc59961195"/>
      <w:r>
        <w:rPr>
          <w:color w:val="000000" w:themeColor="text1"/>
          <w14:textFill>
            <w14:solidFill>
              <w14:schemeClr w14:val="tx1"/>
            </w14:solidFill>
          </w14:textFill>
        </w:rPr>
        <w:t xml:space="preserve">88. </w:t>
      </w:r>
      <w:bookmarkEnd w:id="202"/>
      <w:r>
        <w:rPr>
          <w:color w:val="000000" w:themeColor="text1"/>
          <w14:textFill>
            <w14:solidFill>
              <w14:schemeClr w14:val="tx1"/>
            </w14:solidFill>
          </w14:textFill>
        </w:rPr>
        <w:t>建立校园网的学校比例（%）</w:t>
      </w:r>
      <w:bookmarkEnd w:id="20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建立校园网的学校比例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某一级教育建立校园网的学校数占该级教育学校总数的百分比。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该指标可监测和评价全国及各地学校校园网建设情况，可作为教育条件保障类指标。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建立校园网的学校比例=某一级教育建立校园网的学校数/该级教育学校总数*100%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实现教育信息化，学校网络建设必不可少</w:t>
      </w:r>
      <w:r>
        <w:rPr>
          <w:rFonts w:hint="eastAsia"/>
          <w:color w:val="000000" w:themeColor="text1"/>
          <w14:textFill>
            <w14:solidFill>
              <w14:schemeClr w14:val="tx1"/>
            </w14:solidFill>
          </w14:textFill>
        </w:rPr>
        <w:t>。该</w:t>
      </w:r>
      <w:r>
        <w:rPr>
          <w:color w:val="000000" w:themeColor="text1"/>
          <w14:textFill>
            <w14:solidFill>
              <w14:schemeClr w14:val="tx1"/>
            </w14:solidFill>
          </w14:textFill>
        </w:rPr>
        <w:t>指标值高说明教育信息化的实现程度高。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该指标只能反映学校校园网建设情况，无法反映校园网的实际使用效果。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=小学建立校园网的学校数/小学学校总数*100%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=初中建立校园网的学校数/初中学校总数*100%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=普通高中建立校园网的学校数/普通高中学校总数*100%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=中等职业学校建立校园网的学校数/中等职业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（5）普通高校建立校园网的学校比例（%）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=普通高校建立校园网的学校数/普通高校</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bookmarkEnd w:id="201"/>
    <w:p>
      <w:pPr>
        <w:pStyle w:val="3"/>
        <w:rPr>
          <w:color w:val="000000" w:themeColor="text1"/>
          <w14:textFill>
            <w14:solidFill>
              <w14:schemeClr w14:val="tx1"/>
            </w14:solidFill>
          </w14:textFill>
        </w:rPr>
      </w:pPr>
      <w:bookmarkStart w:id="204" w:name="_Toc59961196"/>
      <w:bookmarkStart w:id="205" w:name="_Toc398192953"/>
      <w:r>
        <w:rPr>
          <w:color w:val="000000" w:themeColor="text1"/>
          <w14:textFill>
            <w14:solidFill>
              <w14:schemeClr w14:val="tx1"/>
            </w14:solidFill>
          </w14:textFill>
        </w:rPr>
        <w:t>89</w:t>
      </w:r>
      <w:r>
        <w:rPr>
          <w:rFonts w:hint="eastAsia"/>
          <w:color w:val="000000" w:themeColor="text1"/>
          <w14:textFill>
            <w14:solidFill>
              <w14:schemeClr w14:val="tx1"/>
            </w14:solidFill>
          </w14:textFill>
        </w:rPr>
        <w:t>. 接入互联</w:t>
      </w:r>
      <w:r>
        <w:rPr>
          <w:color w:val="000000" w:themeColor="text1"/>
          <w14:textFill>
            <w14:solidFill>
              <w14:schemeClr w14:val="tx1"/>
            </w14:solidFill>
          </w14:textFill>
        </w:rPr>
        <w:t>网的学校比例（%）</w:t>
      </w:r>
      <w:bookmarkEnd w:id="204"/>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接入</w:t>
      </w:r>
      <w:r>
        <w:rPr>
          <w:color w:val="000000" w:themeColor="text1"/>
          <w14:textFill>
            <w14:solidFill>
              <w14:schemeClr w14:val="tx1"/>
            </w14:solidFill>
          </w14:textFill>
        </w:rPr>
        <w:t>互联网的学校比例</w:t>
      </w:r>
      <w:r>
        <w:rPr>
          <w:rFonts w:hint="eastAsia"/>
          <w:color w:val="000000" w:themeColor="text1"/>
          <w14:textFill>
            <w14:solidFill>
              <w14:schemeClr w14:val="tx1"/>
            </w14:solidFill>
          </w14:textFill>
        </w:rPr>
        <w:t>，是指</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接入互联</w:t>
      </w:r>
      <w:r>
        <w:rPr>
          <w:color w:val="000000" w:themeColor="text1"/>
          <w14:textFill>
            <w14:solidFill>
              <w14:schemeClr w14:val="tx1"/>
            </w14:solidFill>
          </w14:textFill>
        </w:rPr>
        <w:t>网的学校数占该级教育学校总数的百分比。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该指标可监测和评价全国及各地学校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情况，</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信息化配备情况，可作为教育条件保障类指标。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的学校比例=某一级教育</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接入互联网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在教育教学中有助于</w:t>
      </w:r>
      <w:r>
        <w:rPr>
          <w:rFonts w:hint="eastAsia"/>
          <w:color w:val="000000" w:themeColor="text1"/>
          <w14:textFill>
            <w14:solidFill>
              <w14:schemeClr w14:val="tx1"/>
            </w14:solidFill>
          </w14:textFill>
        </w:rPr>
        <w:t>综合</w:t>
      </w:r>
      <w:r>
        <w:rPr>
          <w:color w:val="000000" w:themeColor="text1"/>
          <w14:textFill>
            <w14:solidFill>
              <w14:schemeClr w14:val="tx1"/>
            </w14:solidFill>
          </w14:textFill>
        </w:rPr>
        <w:t>运用数字化网络资源</w:t>
      </w:r>
      <w:r>
        <w:rPr>
          <w:rFonts w:hint="eastAsia"/>
          <w:color w:val="000000" w:themeColor="text1"/>
          <w14:textFill>
            <w14:solidFill>
              <w14:schemeClr w14:val="tx1"/>
            </w14:solidFill>
          </w14:textFill>
        </w:rPr>
        <w:t>，提升</w:t>
      </w:r>
      <w:r>
        <w:rPr>
          <w:color w:val="000000" w:themeColor="text1"/>
          <w14:textFill>
            <w14:solidFill>
              <w14:schemeClr w14:val="tx1"/>
            </w14:solidFill>
          </w14:textFill>
        </w:rPr>
        <w:t>学校的教育信息化水平，</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值高说明教育信息化的</w:t>
      </w:r>
      <w:r>
        <w:rPr>
          <w:rFonts w:hint="eastAsia"/>
          <w:color w:val="000000" w:themeColor="text1"/>
          <w14:textFill>
            <w14:solidFill>
              <w14:schemeClr w14:val="tx1"/>
            </w14:solidFill>
          </w14:textFill>
        </w:rPr>
        <w:t>基础</w:t>
      </w:r>
      <w:r>
        <w:rPr>
          <w:color w:val="000000" w:themeColor="text1"/>
          <w14:textFill>
            <w14:solidFill>
              <w14:schemeClr w14:val="tx1"/>
            </w14:solidFill>
          </w14:textFill>
        </w:rPr>
        <w:t>配备水平实现程度高。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各级</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的互联网</w:t>
      </w:r>
      <w:r>
        <w:rPr>
          <w:color w:val="000000" w:themeColor="text1"/>
          <w14:textFill>
            <w14:solidFill>
              <w14:schemeClr w14:val="tx1"/>
            </w14:solidFill>
          </w14:textFill>
        </w:rPr>
        <w:t>接入情况，无法反映</w:t>
      </w:r>
      <w:r>
        <w:rPr>
          <w:rFonts w:hint="eastAsia"/>
          <w:color w:val="000000" w:themeColor="text1"/>
          <w14:textFill>
            <w14:solidFill>
              <w14:schemeClr w14:val="tx1"/>
            </w14:solidFill>
          </w14:textFill>
        </w:rPr>
        <w:t>学校使用互联网支持教学</w:t>
      </w:r>
      <w:r>
        <w:rPr>
          <w:color w:val="000000" w:themeColor="text1"/>
          <w14:textFill>
            <w14:solidFill>
              <w14:schemeClr w14:val="tx1"/>
            </w14:solidFill>
          </w14:textFill>
        </w:rPr>
        <w:t>的实际效果。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接入互联网</w:t>
      </w:r>
      <w:r>
        <w:rPr>
          <w:color w:val="000000" w:themeColor="text1"/>
          <w14:textFill>
            <w14:solidFill>
              <w14:schemeClr w14:val="tx1"/>
            </w14:solidFill>
          </w14:textFill>
        </w:rPr>
        <w:t>的学校数/普通高校</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pStyle w:val="3"/>
        <w:rPr>
          <w:color w:val="000000" w:themeColor="text1"/>
          <w14:textFill>
            <w14:solidFill>
              <w14:schemeClr w14:val="tx1"/>
            </w14:solidFill>
          </w14:textFill>
        </w:rPr>
      </w:pPr>
      <w:bookmarkStart w:id="206" w:name="_Toc59961197"/>
      <w:r>
        <w:rPr>
          <w:color w:val="000000" w:themeColor="text1"/>
          <w14:textFill>
            <w14:solidFill>
              <w14:schemeClr w14:val="tx1"/>
            </w14:solidFill>
          </w14:textFill>
        </w:rPr>
        <w:t xml:space="preserve">90. </w:t>
      </w:r>
      <w:r>
        <w:rPr>
          <w:rFonts w:hint="eastAsia"/>
          <w:color w:val="000000" w:themeColor="text1"/>
          <w14:textFill>
            <w14:solidFill>
              <w14:schemeClr w14:val="tx1"/>
            </w14:solidFill>
          </w14:textFill>
        </w:rPr>
        <w:t>出口带宽达到100Mbps以上的学校比例（%）</w:t>
      </w:r>
      <w:bookmarkEnd w:id="205"/>
      <w:bookmarkEnd w:id="20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出口带宽达到100Mbps以上的学校比例，是指某一级教育出口带宽</w:t>
      </w:r>
      <w:r>
        <w:rPr>
          <w:color w:val="000000" w:themeColor="text1"/>
          <w14:textFill>
            <w14:solidFill>
              <w14:schemeClr w14:val="tx1"/>
            </w14:solidFill>
          </w14:textFill>
        </w:rPr>
        <w:t>达到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Mbps</w:t>
      </w:r>
      <w:r>
        <w:rPr>
          <w:rFonts w:hint="eastAsia"/>
          <w:color w:val="000000" w:themeColor="text1"/>
          <w14:textFill>
            <w14:solidFill>
              <w14:schemeClr w14:val="tx1"/>
            </w14:solidFill>
          </w14:textFill>
        </w:rPr>
        <w:t>以上的学校数占该级教育学校总数的百分比。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w:t>
      </w:r>
      <w:r>
        <w:rPr>
          <w:rFonts w:hint="eastAsia"/>
          <w:color w:val="000000" w:themeColor="text1"/>
          <w14:textFill>
            <w14:solidFill>
              <w14:schemeClr w14:val="tx1"/>
            </w14:solidFill>
          </w14:textFill>
        </w:rPr>
        <w:t>信息化</w:t>
      </w:r>
      <w:r>
        <w:rPr>
          <w:color w:val="000000" w:themeColor="text1"/>
          <w14:textFill>
            <w14:solidFill>
              <w14:schemeClr w14:val="tx1"/>
            </w14:solidFill>
          </w14:textFill>
        </w:rPr>
        <w:t>建设情况，</w:t>
      </w:r>
      <w:r>
        <w:rPr>
          <w:rFonts w:hint="eastAsia"/>
          <w:color w:val="000000" w:themeColor="text1"/>
          <w14:textFill>
            <w14:solidFill>
              <w14:schemeClr w14:val="tx1"/>
            </w14:solidFill>
          </w14:textFill>
        </w:rPr>
        <w:t>反映</w:t>
      </w:r>
      <w:r>
        <w:rPr>
          <w:color w:val="000000" w:themeColor="text1"/>
          <w14:textFill>
            <w14:solidFill>
              <w14:schemeClr w14:val="tx1"/>
            </w14:solidFill>
          </w14:textFill>
        </w:rPr>
        <w:t>信息</w:t>
      </w:r>
      <w:r>
        <w:rPr>
          <w:rFonts w:hint="eastAsia"/>
          <w:color w:val="000000" w:themeColor="text1"/>
          <w14:textFill>
            <w14:solidFill>
              <w14:schemeClr w14:val="tx1"/>
            </w14:solidFill>
          </w14:textFill>
        </w:rPr>
        <w:t>化</w:t>
      </w:r>
      <w:r>
        <w:rPr>
          <w:color w:val="000000" w:themeColor="text1"/>
          <w14:textFill>
            <w14:solidFill>
              <w14:schemeClr w14:val="tx1"/>
            </w14:solidFill>
          </w14:textFill>
        </w:rPr>
        <w:t>配备水平，可作为教育条件保障类指标。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出口带宽达到100Mbps以上的学校比例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出口带宽</w:t>
      </w:r>
      <w:r>
        <w:rPr>
          <w:color w:val="000000" w:themeColor="text1"/>
          <w14:textFill>
            <w14:solidFill>
              <w14:schemeClr w14:val="tx1"/>
            </w14:solidFill>
          </w14:textFill>
        </w:rPr>
        <w:t>达到</w:t>
      </w:r>
      <w:r>
        <w:rPr>
          <w:rFonts w:hint="eastAsia"/>
          <w:color w:val="000000" w:themeColor="text1"/>
          <w14:textFill>
            <w14:solidFill>
              <w14:schemeClr w14:val="tx1"/>
            </w14:solidFill>
          </w14:textFill>
        </w:rPr>
        <w:t>100</w:t>
      </w:r>
      <w:r>
        <w:rPr>
          <w:color w:val="000000" w:themeColor="text1"/>
          <w14:textFill>
            <w14:solidFill>
              <w14:schemeClr w14:val="tx1"/>
            </w14:solidFill>
          </w14:textFill>
        </w:rPr>
        <w:t>Mbps</w:t>
      </w:r>
      <w:r>
        <w:rPr>
          <w:rFonts w:hint="eastAsia"/>
          <w:color w:val="000000" w:themeColor="text1"/>
          <w14:textFill>
            <w14:solidFill>
              <w14:schemeClr w14:val="tx1"/>
            </w14:solidFill>
          </w14:textFill>
        </w:rPr>
        <w:t>及以上的学校数</w:t>
      </w:r>
      <w:r>
        <w:rPr>
          <w:color w:val="000000" w:themeColor="text1"/>
          <w14:textFill>
            <w14:solidFill>
              <w14:schemeClr w14:val="tx1"/>
            </w14:solidFill>
          </w14:textFill>
        </w:rPr>
        <w:t>/该级教育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分学段；分城乡（中等职业学校和普通高校除外）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出口</w:t>
      </w:r>
      <w:r>
        <w:rPr>
          <w:color w:val="000000" w:themeColor="text1"/>
          <w14:textFill>
            <w14:solidFill>
              <w14:schemeClr w14:val="tx1"/>
            </w14:solidFill>
          </w14:textFill>
        </w:rPr>
        <w:t>带宽达到</w:t>
      </w:r>
      <w:r>
        <w:rPr>
          <w:rFonts w:hint="eastAsia"/>
          <w:color w:val="000000" w:themeColor="text1"/>
          <w14:textFill>
            <w14:solidFill>
              <w14:schemeClr w14:val="tx1"/>
            </w14:solidFill>
          </w14:textFill>
        </w:rPr>
        <w:t>100Mbps以上的学校数量越多</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学校接入</w:t>
      </w:r>
      <w:r>
        <w:rPr>
          <w:color w:val="000000" w:themeColor="text1"/>
          <w14:textFill>
            <w14:solidFill>
              <w14:schemeClr w14:val="tx1"/>
            </w14:solidFill>
          </w14:textFill>
        </w:rPr>
        <w:t>互联网的</w:t>
      </w:r>
      <w:r>
        <w:rPr>
          <w:rFonts w:hint="eastAsia"/>
          <w:color w:val="000000" w:themeColor="text1"/>
          <w14:textFill>
            <w14:solidFill>
              <w14:schemeClr w14:val="tx1"/>
            </w14:solidFill>
          </w14:textFill>
        </w:rPr>
        <w:t>带宽</w:t>
      </w:r>
      <w:r>
        <w:rPr>
          <w:color w:val="000000" w:themeColor="text1"/>
          <w14:textFill>
            <w14:solidFill>
              <w14:schemeClr w14:val="tx1"/>
            </w14:solidFill>
          </w14:textFill>
        </w:rPr>
        <w:t>情况，无法反映学校使用</w:t>
      </w:r>
      <w:r>
        <w:rPr>
          <w:rFonts w:hint="eastAsia"/>
          <w:color w:val="000000" w:themeColor="text1"/>
          <w14:textFill>
            <w14:solidFill>
              <w14:schemeClr w14:val="tx1"/>
            </w14:solidFill>
          </w14:textFill>
        </w:rPr>
        <w:t>互联网</w:t>
      </w:r>
      <w:r>
        <w:rPr>
          <w:color w:val="000000" w:themeColor="text1"/>
          <w14:textFill>
            <w14:solidFill>
              <w14:schemeClr w14:val="tx1"/>
            </w14:solidFill>
          </w14:textFill>
        </w:rPr>
        <w:t>的实际</w:t>
      </w:r>
      <w:r>
        <w:rPr>
          <w:rFonts w:hint="eastAsia"/>
          <w:color w:val="000000" w:themeColor="text1"/>
          <w14:textFill>
            <w14:solidFill>
              <w14:schemeClr w14:val="tx1"/>
            </w14:solidFill>
          </w14:textFill>
        </w:rPr>
        <w:t>效果</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的学校数/普通高中学校总数*100%</w:t>
      </w:r>
    </w:p>
    <w:p>
      <w:pPr>
        <w:pStyle w:val="6"/>
        <w:ind w:firstLine="482"/>
        <w:rPr>
          <w:color w:val="000000" w:themeColor="text1"/>
          <w:sz w:val="28"/>
          <w14:textFill>
            <w14:solidFill>
              <w14:schemeClr w14:val="tx1"/>
            </w14:solidFill>
          </w14:textFill>
        </w:rPr>
      </w:pPr>
      <w:r>
        <w:rPr>
          <w:color w:val="000000" w:themeColor="text1"/>
          <w14:textFill>
            <w14:solidFill>
              <w14:schemeClr w14:val="tx1"/>
            </w14:solidFill>
          </w14:textFill>
        </w:rPr>
        <w:t>（4）中等职业学校出口带宽达到100Mbps以上的学校比例（%）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的学校数/中等职业学校总数*100%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（5）普通高校出口带宽达到100Mbps以上的学校比例（%）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=普通高校出口带宽达到100Mbps</w:t>
      </w:r>
      <w:r>
        <w:rPr>
          <w:rFonts w:hint="eastAsia"/>
          <w:color w:val="000000" w:themeColor="text1"/>
          <w14:textFill>
            <w14:solidFill>
              <w14:schemeClr w14:val="tx1"/>
            </w14:solidFill>
          </w14:textFill>
        </w:rPr>
        <w:t>及以上</w:t>
      </w:r>
      <w:r>
        <w:rPr>
          <w:color w:val="000000" w:themeColor="text1"/>
          <w14:textFill>
            <w14:solidFill>
              <w14:schemeClr w14:val="tx1"/>
            </w14:solidFill>
          </w14:textFill>
        </w:rPr>
        <w:t>的学校数/普通高校学校总数*100%</w:t>
      </w:r>
    </w:p>
    <w:p>
      <w:pPr>
        <w:pStyle w:val="3"/>
        <w:rPr>
          <w:color w:val="000000" w:themeColor="text1"/>
          <w14:textFill>
            <w14:solidFill>
              <w14:schemeClr w14:val="tx1"/>
            </w14:solidFill>
          </w14:textFill>
        </w:rPr>
      </w:pPr>
      <w:bookmarkStart w:id="207" w:name="_Toc398192955"/>
      <w:bookmarkStart w:id="208" w:name="_Toc59961198"/>
      <w:r>
        <w:rPr>
          <w:color w:val="000000" w:themeColor="text1"/>
          <w14:textFill>
            <w14:solidFill>
              <w14:schemeClr w14:val="tx1"/>
            </w14:solidFill>
          </w14:textFill>
        </w:rPr>
        <w:t>91</w:t>
      </w:r>
      <w:r>
        <w:rPr>
          <w:rFonts w:hint="eastAsia"/>
          <w:color w:val="000000" w:themeColor="text1"/>
          <w14:textFill>
            <w14:solidFill>
              <w14:schemeClr w14:val="tx1"/>
            </w14:solidFill>
          </w14:textFill>
        </w:rPr>
        <w:t>. 网络多媒体教室占教室总数比例（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bookmarkEnd w:id="207"/>
      <w:bookmarkEnd w:id="208"/>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网络多媒体教室占教室总数比例，</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建有</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多媒体教室数</w:t>
      </w:r>
      <w:r>
        <w:rPr>
          <w:rFonts w:hint="eastAsia"/>
          <w:color w:val="000000" w:themeColor="text1"/>
          <w14:textFill>
            <w14:solidFill>
              <w14:schemeClr w14:val="tx1"/>
            </w14:solidFill>
          </w14:textFill>
        </w:rPr>
        <w:t>占</w:t>
      </w:r>
      <w:r>
        <w:rPr>
          <w:color w:val="000000" w:themeColor="text1"/>
          <w14:textFill>
            <w14:solidFill>
              <w14:schemeClr w14:val="tx1"/>
            </w14:solidFill>
          </w14:textFill>
        </w:rPr>
        <w:t>该级教育</w:t>
      </w:r>
      <w:r>
        <w:rPr>
          <w:rFonts w:hint="eastAsia"/>
          <w:color w:val="000000" w:themeColor="text1"/>
          <w14:textFill>
            <w14:solidFill>
              <w14:schemeClr w14:val="tx1"/>
            </w14:solidFill>
          </w14:textFill>
        </w:rPr>
        <w:t>教室</w:t>
      </w:r>
      <w:r>
        <w:rPr>
          <w:color w:val="000000" w:themeColor="text1"/>
          <w14:textFill>
            <w14:solidFill>
              <w14:schemeClr w14:val="tx1"/>
            </w14:solidFill>
          </w14:textFill>
        </w:rPr>
        <w:t>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监测</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w:t>
      </w:r>
      <w:r>
        <w:rPr>
          <w:rFonts w:hint="eastAsia"/>
          <w:color w:val="000000" w:themeColor="text1"/>
          <w14:textFill>
            <w14:solidFill>
              <w14:schemeClr w14:val="tx1"/>
            </w14:solidFill>
          </w14:textFill>
        </w:rPr>
        <w:t>建设</w:t>
      </w:r>
      <w:r>
        <w:rPr>
          <w:color w:val="000000" w:themeColor="text1"/>
          <w14:textFill>
            <w14:solidFill>
              <w14:schemeClr w14:val="tx1"/>
            </w14:solidFill>
          </w14:textFill>
        </w:rPr>
        <w:t>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网络多媒体教室占教室总数比例</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建有</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多媒体教室数/该级教育</w:t>
      </w:r>
      <w:r>
        <w:rPr>
          <w:rFonts w:hint="eastAsia"/>
          <w:color w:val="000000" w:themeColor="text1"/>
          <w14:textFill>
            <w14:solidFill>
              <w14:schemeClr w14:val="tx1"/>
            </w14:solidFill>
          </w14:textFill>
        </w:rPr>
        <w:t>教室</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分学段；分城乡（中等职业学校和普通高校除外）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多媒体教室可</w:t>
      </w:r>
      <w:r>
        <w:rPr>
          <w:rFonts w:hint="eastAsia"/>
          <w:color w:val="000000" w:themeColor="text1"/>
          <w14:textFill>
            <w14:solidFill>
              <w14:schemeClr w14:val="tx1"/>
            </w14:solidFill>
          </w14:textFill>
        </w:rPr>
        <w:t>运用</w:t>
      </w:r>
      <w:r>
        <w:rPr>
          <w:color w:val="000000" w:themeColor="text1"/>
          <w14:textFill>
            <w14:solidFill>
              <w14:schemeClr w14:val="tx1"/>
            </w14:solidFill>
          </w14:textFill>
        </w:rPr>
        <w:t>网络</w:t>
      </w:r>
      <w:r>
        <w:rPr>
          <w:rFonts w:hint="eastAsia"/>
          <w:color w:val="000000" w:themeColor="text1"/>
          <w14:textFill>
            <w14:solidFill>
              <w14:schemeClr w14:val="tx1"/>
            </w14:solidFill>
          </w14:textFill>
        </w:rPr>
        <w:t>数字</w:t>
      </w:r>
      <w:r>
        <w:rPr>
          <w:color w:val="000000" w:themeColor="text1"/>
          <w14:textFill>
            <w14:solidFill>
              <w14:schemeClr w14:val="tx1"/>
            </w14:solidFill>
          </w14:textFill>
        </w:rPr>
        <w:t>资源、多媒体设备展示教学</w:t>
      </w:r>
      <w:r>
        <w:rPr>
          <w:rFonts w:hint="eastAsia"/>
          <w:color w:val="000000" w:themeColor="text1"/>
          <w14:textFill>
            <w14:solidFill>
              <w14:schemeClr w14:val="tx1"/>
            </w14:solidFill>
          </w14:textFill>
        </w:rPr>
        <w:t>信息</w:t>
      </w:r>
      <w:r>
        <w:rPr>
          <w:color w:val="000000" w:themeColor="text1"/>
          <w14:textFill>
            <w14:solidFill>
              <w14:schemeClr w14:val="tx1"/>
            </w14:solidFill>
          </w14:textFill>
        </w:rPr>
        <w:t>，有助于提高教学效率，丰富教学内容</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值高说明学生接受多媒体教学的机会越多。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网络</w:t>
      </w:r>
      <w:r>
        <w:rPr>
          <w:color w:val="000000" w:themeColor="text1"/>
          <w14:textFill>
            <w14:solidFill>
              <w14:schemeClr w14:val="tx1"/>
            </w14:solidFill>
          </w14:textFill>
        </w:rPr>
        <w:t>多媒体教室的</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数量，无法</w:t>
      </w:r>
      <w:r>
        <w:rPr>
          <w:rFonts w:hint="eastAsia"/>
          <w:color w:val="000000" w:themeColor="text1"/>
          <w14:textFill>
            <w14:solidFill>
              <w14:schemeClr w14:val="tx1"/>
            </w14:solidFill>
          </w14:textFill>
        </w:rPr>
        <w:t>体现</w:t>
      </w:r>
      <w:r>
        <w:rPr>
          <w:color w:val="000000" w:themeColor="text1"/>
          <w14:textFill>
            <w14:solidFill>
              <w14:schemeClr w14:val="tx1"/>
            </w14:solidFill>
          </w14:textFill>
        </w:rPr>
        <w:t>多媒体教室的</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用情况。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（4）中等职业学校</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（5）普通高校</w:t>
      </w:r>
      <w:r>
        <w:rPr>
          <w:rFonts w:hint="eastAsia"/>
          <w:color w:val="000000" w:themeColor="text1"/>
          <w14:textFill>
            <w14:solidFill>
              <w14:schemeClr w14:val="tx1"/>
            </w14:solidFill>
          </w14:textFill>
        </w:rPr>
        <w:t>网络多媒体教室占教室总数比例（%）</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建有的网络多媒体教室数</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教室总数</w:t>
      </w:r>
      <w:r>
        <w:rPr>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209" w:name="_Toc54862054"/>
      <w:bookmarkStart w:id="210" w:name="_Toc59961199"/>
      <w:bookmarkStart w:id="211" w:name="_Toc398192956"/>
      <w:r>
        <w:rPr>
          <w:color w:val="000000" w:themeColor="text1"/>
          <w14:textFill>
            <w14:solidFill>
              <w14:schemeClr w14:val="tx1"/>
            </w14:solidFill>
          </w14:textFill>
        </w:rPr>
        <w:t>92</w:t>
      </w:r>
      <w:r>
        <w:rPr>
          <w:rFonts w:hint="eastAsia"/>
          <w:color w:val="000000" w:themeColor="text1"/>
          <w14:textFill>
            <w14:solidFill>
              <w14:schemeClr w14:val="tx1"/>
            </w14:solidFill>
          </w14:textFill>
        </w:rPr>
        <w:t>. 开通网络学习空间的学生比例 (%)</w:t>
      </w:r>
      <w:bookmarkEnd w:id="209"/>
      <w:bookmarkEnd w:id="210"/>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开通网络学习空间的学生比例，是指</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开通网络学习空间的学生</w:t>
      </w:r>
      <w:r>
        <w:rPr>
          <w:color w:val="000000" w:themeColor="text1"/>
          <w14:textFill>
            <w14:solidFill>
              <w14:schemeClr w14:val="tx1"/>
            </w14:solidFill>
          </w14:textFill>
        </w:rPr>
        <w:t>数占该级教育学</w:t>
      </w:r>
      <w:r>
        <w:rPr>
          <w:rFonts w:hint="eastAsia"/>
          <w:color w:val="000000" w:themeColor="text1"/>
          <w14:textFill>
            <w14:solidFill>
              <w14:schemeClr w14:val="tx1"/>
            </w14:solidFill>
          </w14:textFill>
        </w:rPr>
        <w:t>生</w:t>
      </w:r>
      <w:r>
        <w:rPr>
          <w:color w:val="000000" w:themeColor="text1"/>
          <w14:textFill>
            <w14:solidFill>
              <w14:schemeClr w14:val="tx1"/>
            </w14:solidFill>
          </w14:textFill>
        </w:rPr>
        <w:t>总数的百分比。</w:t>
      </w:r>
      <w:r>
        <w:rPr>
          <w:rFonts w:hint="eastAsia"/>
          <w:color w:val="000000" w:themeColor="text1"/>
          <w14:textFill>
            <w14:solidFill>
              <w14:schemeClr w14:val="tx1"/>
            </w14:solidFill>
          </w14:textFill>
        </w:rPr>
        <w:t>网络学习空间是指由教育主管部门或学校认定的、在公共服务平台上开通的、供学生使用的网络学习空间。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该指标可监测和评价全国及各地学校学生网络学习空间开通情况，可作为教育条件保障类指标。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开通网络学习空间的学生比例</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开通网络学习空间的学生</w:t>
      </w:r>
      <w:r>
        <w:rPr>
          <w:color w:val="000000" w:themeColor="text1"/>
          <w14:textFill>
            <w14:solidFill>
              <w14:schemeClr w14:val="tx1"/>
            </w14:solidFill>
          </w14:textFill>
        </w:rPr>
        <w:t>数/该级教育</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该指标值高说明学生网络学习空间接入性、可用性高。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该指标只能反映学生开通网络学习空间的情况，不能体现学生利用网络学习空间进行学习管理、学情反馈、成长记录等的应用情况。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=小学开通网络学习空间的学生数/小学在校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=初中开通网络学习空间的学生数/初中在校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=普通高中开通网络学习空间的学生数/普通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（4）中等职业学校开通网络学习空间的学生比例（%）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=中等职业学校开通网络学习空间的学生数/中等职业学校在校生总数*100%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（5）普通高校开通网络学习空间的学生比例（%）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=普通高校开通网络学习空间的学生数/普通</w:t>
      </w:r>
      <w:r>
        <w:rPr>
          <w:color w:val="000000" w:themeColor="text1"/>
          <w14:textFill>
            <w14:solidFill>
              <w14:schemeClr w14:val="tx1"/>
            </w14:solidFill>
          </w14:textFill>
        </w:rPr>
        <w:t>高</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折合</w:t>
      </w:r>
      <w:r>
        <w:rPr>
          <w:rFonts w:hint="eastAsia"/>
          <w:color w:val="000000" w:themeColor="text1"/>
          <w14:textFill>
            <w14:solidFill>
              <w14:schemeClr w14:val="tx1"/>
            </w14:solidFill>
          </w14:textFill>
        </w:rPr>
        <w:t>在校</w:t>
      </w:r>
      <w:r>
        <w:rPr>
          <w:color w:val="000000" w:themeColor="text1"/>
          <w14:textFill>
            <w14:solidFill>
              <w14:schemeClr w14:val="tx1"/>
            </w14:solidFill>
          </w14:textFill>
        </w:rPr>
        <w:t>生</w:t>
      </w:r>
      <w:r>
        <w:rPr>
          <w:rFonts w:hint="eastAsia"/>
          <w:color w:val="000000" w:themeColor="text1"/>
          <w14:textFill>
            <w14:solidFill>
              <w14:schemeClr w14:val="tx1"/>
            </w14:solidFill>
          </w14:textFill>
        </w:rPr>
        <w:t>数*100%</w:t>
      </w:r>
    </w:p>
    <w:p>
      <w:pPr>
        <w:pStyle w:val="3"/>
        <w:rPr>
          <w:color w:val="000000" w:themeColor="text1"/>
          <w14:textFill>
            <w14:solidFill>
              <w14:schemeClr w14:val="tx1"/>
            </w14:solidFill>
          </w14:textFill>
        </w:rPr>
      </w:pPr>
      <w:bookmarkStart w:id="212" w:name="_Toc54862055"/>
      <w:bookmarkStart w:id="213" w:name="_Toc59961200"/>
      <w:r>
        <w:rPr>
          <w:color w:val="000000" w:themeColor="text1"/>
          <w14:textFill>
            <w14:solidFill>
              <w14:schemeClr w14:val="tx1"/>
            </w14:solidFill>
          </w14:textFill>
        </w:rPr>
        <w:t>93</w:t>
      </w:r>
      <w:r>
        <w:rPr>
          <w:rFonts w:hint="eastAsia"/>
          <w:color w:val="000000" w:themeColor="text1"/>
          <w14:textFill>
            <w14:solidFill>
              <w14:schemeClr w14:val="tx1"/>
            </w14:solidFill>
          </w14:textFill>
        </w:rPr>
        <w:t>. 开通网络学习空间的教师比例 (%)</w:t>
      </w:r>
      <w:bookmarkEnd w:id="212"/>
      <w:bookmarkEnd w:id="213"/>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开通网络学习空间的教师比例，是指</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开通网络学习空间的专任教师</w:t>
      </w:r>
      <w:r>
        <w:rPr>
          <w:color w:val="000000" w:themeColor="text1"/>
          <w14:textFill>
            <w14:solidFill>
              <w14:schemeClr w14:val="tx1"/>
            </w14:solidFill>
          </w14:textFill>
        </w:rPr>
        <w:t>数占该级教育</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教师总数的百分比。</w:t>
      </w:r>
      <w:r>
        <w:rPr>
          <w:rFonts w:hint="eastAsia"/>
          <w:color w:val="000000" w:themeColor="text1"/>
          <w14:textFill>
            <w14:solidFill>
              <w14:schemeClr w14:val="tx1"/>
            </w14:solidFill>
          </w14:textFill>
        </w:rPr>
        <w:t>网络学习空间是指由教育主管部门或学校认定的、在公共服务平台上开通的、供教师使用的网络学习空间。</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该指标可监测和评价全国及各地学校教师网络学习空间开通情况，可作为教育条件保障类指标。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开通网络学习空间的教师比例</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开通网络学习空间的专任教师</w:t>
      </w:r>
      <w:r>
        <w:rPr>
          <w:color w:val="000000" w:themeColor="text1"/>
          <w14:textFill>
            <w14:solidFill>
              <w14:schemeClr w14:val="tx1"/>
            </w14:solidFill>
          </w14:textFill>
        </w:rPr>
        <w:t>数/该级教育</w:t>
      </w:r>
      <w:r>
        <w:rPr>
          <w:rFonts w:hint="eastAsia"/>
          <w:color w:val="000000" w:themeColor="text1"/>
          <w14:textFill>
            <w14:solidFill>
              <w14:schemeClr w14:val="tx1"/>
            </w14:solidFill>
          </w14:textFill>
        </w:rPr>
        <w:t>专任</w:t>
      </w:r>
      <w:r>
        <w:rPr>
          <w:color w:val="000000" w:themeColor="text1"/>
          <w14:textFill>
            <w14:solidFill>
              <w14:schemeClr w14:val="tx1"/>
            </w14:solidFill>
          </w14:textFill>
        </w:rPr>
        <w:t>教师总数*100%</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rFonts w:ascii="黑体" w:hAnsi="黑体" w:eastAsia="黑体"/>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w:t>
      </w:r>
      <w:r>
        <w:rPr>
          <w:color w:val="000000" w:themeColor="text1"/>
          <w14:textFill>
            <w14:solidFill>
              <w14:schemeClr w14:val="tx1"/>
            </w14:solidFill>
          </w14:textFill>
        </w:rPr>
        <w:t>适用</w:t>
      </w:r>
      <w:r>
        <w:rPr>
          <w:rFonts w:hint="eastAsia"/>
          <w:color w:val="000000" w:themeColor="text1"/>
          <w14:textFill>
            <w14:solidFill>
              <w14:schemeClr w14:val="tx1"/>
            </w14:solidFill>
          </w14:textFill>
        </w:rPr>
        <w:t>于地级和县级</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该指标值高说明教师网络学习空间接入性、可用性高。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该指标只能反映教师开通网络学习空间的情况，不能体现教师利用网络学习空间进行教学管理、学情分析、网络研修等的应用情况。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（1）小学开通网络学习空间的教师比例（%）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=小学开通网络学习空间的专任教师数/小学专任教师总数*100%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（2）初中开通网络学习空间的教师比例（%）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=初中开通网络学习空间的专任教师数/初中专任教师总数*100%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（3）普通高中开通网络学习空间的教师比例（%）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=普通高中开通网络学习空间的专任教师数/普通</w:t>
      </w:r>
      <w:r>
        <w:rPr>
          <w:color w:val="000000" w:themeColor="text1"/>
          <w14:textFill>
            <w14:solidFill>
              <w14:schemeClr w14:val="tx1"/>
            </w14:solidFill>
          </w14:textFill>
        </w:rPr>
        <w:t>高中</w:t>
      </w:r>
      <w:r>
        <w:rPr>
          <w:rFonts w:hint="eastAsia"/>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开通网络学习空间的专任教师数/中等职业</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专任教师总数*100%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（5）普通高校开通网络学习空间的教师比例（%）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=普通高校开通网络学习空间的专任教师数/普通高校专任教师总数*100%</w:t>
      </w:r>
    </w:p>
    <w:bookmarkEnd w:id="211"/>
    <w:p>
      <w:pPr>
        <w:pStyle w:val="3"/>
        <w:rPr>
          <w:color w:val="000000" w:themeColor="text1"/>
          <w14:textFill>
            <w14:solidFill>
              <w14:schemeClr w14:val="tx1"/>
            </w14:solidFill>
          </w14:textFill>
        </w:rPr>
      </w:pPr>
      <w:bookmarkStart w:id="214" w:name="_Toc59961201"/>
      <w:bookmarkStart w:id="215" w:name="_Toc398192957"/>
      <w:r>
        <w:rPr>
          <w:color w:val="000000" w:themeColor="text1"/>
          <w14:textFill>
            <w14:solidFill>
              <w14:schemeClr w14:val="tx1"/>
            </w14:solidFill>
          </w14:textFill>
        </w:rPr>
        <w:t xml:space="preserve">94. </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w:t>
      </w:r>
      <w:r>
        <w:rPr>
          <w:rFonts w:hint="eastAsia"/>
          <w:color w:val="000000" w:themeColor="text1"/>
          <w14:textFill>
            <w14:solidFill>
              <w14:schemeClr w14:val="tx1"/>
            </w14:solidFill>
          </w14:textFill>
        </w:rPr>
        <w:t>信息技术相关</w:t>
      </w:r>
      <w:r>
        <w:rPr>
          <w:color w:val="000000" w:themeColor="text1"/>
          <w14:textFill>
            <w14:solidFill>
              <w14:schemeClr w14:val="tx1"/>
            </w14:solidFill>
          </w14:textFill>
        </w:rPr>
        <w:t>培训</w:t>
      </w:r>
      <w:r>
        <w:rPr>
          <w:rFonts w:hint="eastAsia"/>
          <w:color w:val="000000" w:themeColor="text1"/>
          <w14:textFill>
            <w14:solidFill>
              <w14:schemeClr w14:val="tx1"/>
            </w14:solidFill>
          </w14:textFill>
        </w:rPr>
        <w:t>数（人次/百人）</w:t>
      </w:r>
      <w:bookmarkEnd w:id="214"/>
      <w:bookmarkEnd w:id="21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每百名专任教师接受信息技术相关培训数，是指上学年某一级教育每百名专任教师平均接受信息技术相关培训的次数。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监测教师</w:t>
      </w:r>
      <w:r>
        <w:rPr>
          <w:rFonts w:hint="eastAsia"/>
          <w:color w:val="000000" w:themeColor="text1"/>
          <w14:textFill>
            <w14:solidFill>
              <w14:schemeClr w14:val="tx1"/>
            </w14:solidFill>
          </w14:textFill>
        </w:rPr>
        <w:t>参加信息技术相关</w:t>
      </w:r>
      <w:r>
        <w:rPr>
          <w:color w:val="000000" w:themeColor="text1"/>
          <w14:textFill>
            <w14:solidFill>
              <w14:schemeClr w14:val="tx1"/>
            </w14:solidFill>
          </w14:textFill>
        </w:rPr>
        <w:t>培训</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情况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可作为教育条件保障类和教育质量类指标。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每百名专任教师接受信息技术相关培训数</w:t>
      </w:r>
      <w:r>
        <w:rPr>
          <w:color w:val="000000" w:themeColor="text1"/>
          <w14:textFill>
            <w14:solidFill>
              <w14:schemeClr w14:val="tx1"/>
            </w14:solidFill>
          </w14:textFill>
        </w:rPr>
        <w:t>=上学年某一级教育</w:t>
      </w:r>
      <w:r>
        <w:rPr>
          <w:rFonts w:hint="eastAsia"/>
          <w:color w:val="000000" w:themeColor="text1"/>
          <w14:textFill>
            <w14:solidFill>
              <w14:schemeClr w14:val="tx1"/>
            </w14:solidFill>
          </w14:textFill>
        </w:rPr>
        <w:t>专任教师接受信息技术相关培训的总人次</w:t>
      </w:r>
      <w:r>
        <w:rPr>
          <w:color w:val="000000" w:themeColor="text1"/>
          <w14:textFill>
            <w14:solidFill>
              <w14:schemeClr w14:val="tx1"/>
            </w14:solidFill>
          </w14:textFill>
        </w:rPr>
        <w:t>/上学年该级教育专任教师总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分城乡（中等职业教育和高等教育除外）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说明专任教师接受信息技术相关培训的机会多，</w:t>
      </w:r>
      <w:r>
        <w:rPr>
          <w:color w:val="000000" w:themeColor="text1"/>
          <w14:textFill>
            <w14:solidFill>
              <w14:schemeClr w14:val="tx1"/>
            </w14:solidFill>
          </w14:textFill>
        </w:rPr>
        <w:t>有助于</w:t>
      </w:r>
      <w:r>
        <w:rPr>
          <w:rFonts w:hint="eastAsia"/>
          <w:color w:val="000000" w:themeColor="text1"/>
          <w14:textFill>
            <w14:solidFill>
              <w14:schemeClr w14:val="tx1"/>
            </w14:solidFill>
          </w14:textFill>
        </w:rPr>
        <w:t>提高</w:t>
      </w:r>
      <w:r>
        <w:rPr>
          <w:color w:val="000000" w:themeColor="text1"/>
          <w14:textFill>
            <w14:solidFill>
              <w14:schemeClr w14:val="tx1"/>
            </w14:solidFill>
          </w14:textFill>
        </w:rPr>
        <w:t>教师</w:t>
      </w:r>
      <w:r>
        <w:rPr>
          <w:rFonts w:hint="eastAsia"/>
          <w:color w:val="000000" w:themeColor="text1"/>
          <w14:textFill>
            <w14:solidFill>
              <w14:schemeClr w14:val="tx1"/>
            </w14:solidFill>
          </w14:textFill>
        </w:rPr>
        <w:t>利用信息技术开展教学的能力</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该指标反映教师平均接受信息技术相关培训的次数，无法反映信息技术相关培训的实际效果。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=上学年小学专任教师接受信息技术相关培训的总人次/上学年小学专任教师总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=上学年初中专任教师接受信息技术相关培训的总人次/上学年初中专任教师总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=上学年普通高中专任教师接受信息技术相关培训的总人次/上学年普通高中专任教师总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=上学年中等职业学校专任教师接受信息技术相关培训的总人次/上学年中等职业学校专任教师总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每百名</w:t>
      </w:r>
      <w:r>
        <w:rPr>
          <w:color w:val="000000" w:themeColor="text1"/>
          <w14:textFill>
            <w14:solidFill>
              <w14:schemeClr w14:val="tx1"/>
            </w14:solidFill>
          </w14:textFill>
        </w:rPr>
        <w:t>专任教师接受信息技术相关培训数</w:t>
      </w:r>
      <w:r>
        <w:rPr>
          <w:rFonts w:hint="eastAsia"/>
          <w:color w:val="000000" w:themeColor="text1"/>
          <w14:textFill>
            <w14:solidFill>
              <w14:schemeClr w14:val="tx1"/>
            </w14:solidFill>
          </w14:textFill>
        </w:rPr>
        <w:t>（人次/百人）</w:t>
      </w:r>
    </w:p>
    <w:p>
      <w:pPr>
        <w:rPr>
          <w:color w:val="000000" w:themeColor="text1"/>
          <w14:textFill>
            <w14:solidFill>
              <w14:schemeClr w14:val="tx1"/>
            </w14:solidFill>
          </w14:textFill>
        </w:rPr>
      </w:pPr>
      <w:r>
        <w:rPr>
          <w:color w:val="000000" w:themeColor="text1"/>
          <w14:textFill>
            <w14:solidFill>
              <w14:schemeClr w14:val="tx1"/>
            </w14:solidFill>
          </w14:textFill>
        </w:rPr>
        <w:t>=上学年普通高校专任教师接受信息技术相关培训的总人次/上学年普通高校专任教师总</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数</w:t>
      </w:r>
      <w:r>
        <w:rPr>
          <w:rFonts w:hint="eastAsia"/>
          <w:color w:val="000000" w:themeColor="text1"/>
          <w14:textFill>
            <w14:solidFill>
              <w14:schemeClr w14:val="tx1"/>
            </w14:solidFill>
          </w14:textFill>
        </w:rPr>
        <w:t>*100</w:t>
      </w:r>
    </w:p>
    <w:p>
      <w:pPr>
        <w:pStyle w:val="3"/>
        <w:rPr>
          <w:color w:val="000000" w:themeColor="text1"/>
          <w14:textFill>
            <w14:solidFill>
              <w14:schemeClr w14:val="tx1"/>
            </w14:solidFill>
          </w14:textFill>
        </w:rPr>
      </w:pPr>
      <w:bookmarkStart w:id="216" w:name="_Toc59961202"/>
      <w:r>
        <w:rPr>
          <w:color w:val="000000" w:themeColor="text1"/>
          <w14:textFill>
            <w14:solidFill>
              <w14:schemeClr w14:val="tx1"/>
            </w14:solidFill>
          </w14:textFill>
        </w:rPr>
        <w:t xml:space="preserve">95. </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w:t>
      </w:r>
      <w:bookmarkEnd w:id="216"/>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网络课程总数与该级教育学校总数之比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网络课程即上网课程，是指按照教学大纲要求，授课、答疑讨论、作业提交、课件下载等所有基本教学活动的教学全过程都通过网络教学平台进行的课程。</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w:t>
      </w:r>
      <w:r>
        <w:rPr>
          <w:color w:val="000000" w:themeColor="text1"/>
          <w14:textFill>
            <w14:solidFill>
              <w14:schemeClr w14:val="tx1"/>
            </w14:solidFill>
          </w14:textFill>
        </w:rPr>
        <w:t>可监测和评价全国及各地教育</w:t>
      </w:r>
      <w:r>
        <w:rPr>
          <w:rFonts w:hint="eastAsia"/>
          <w:color w:val="000000" w:themeColor="text1"/>
          <w14:textFill>
            <w14:solidFill>
              <w14:schemeClr w14:val="tx1"/>
            </w14:solidFill>
          </w14:textFill>
        </w:rPr>
        <w:t>中课程的</w:t>
      </w:r>
      <w:r>
        <w:rPr>
          <w:color w:val="000000" w:themeColor="text1"/>
          <w14:textFill>
            <w14:solidFill>
              <w14:schemeClr w14:val="tx1"/>
            </w14:solidFill>
          </w14:textFill>
        </w:rPr>
        <w:t>信息化</w:t>
      </w:r>
      <w:r>
        <w:rPr>
          <w:rFonts w:hint="eastAsia"/>
          <w:color w:val="000000" w:themeColor="text1"/>
          <w14:textFill>
            <w14:solidFill>
              <w14:schemeClr w14:val="tx1"/>
            </w14:solidFill>
          </w14:textFill>
        </w:rPr>
        <w:t>程度</w:t>
      </w:r>
      <w:r>
        <w:rPr>
          <w:color w:val="000000" w:themeColor="text1"/>
          <w14:textFill>
            <w14:solidFill>
              <w14:schemeClr w14:val="tx1"/>
            </w14:solidFill>
          </w14:textFill>
        </w:rPr>
        <w:t>，可作为教育条件保障类指标。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=某一级教育</w:t>
      </w:r>
      <w:r>
        <w:rPr>
          <w:rFonts w:hint="eastAsia"/>
          <w:color w:val="000000" w:themeColor="text1"/>
          <w14:textFill>
            <w14:solidFill>
              <w14:schemeClr w14:val="tx1"/>
            </w14:solidFill>
          </w14:textFill>
        </w:rPr>
        <w:t>网络课程总</w:t>
      </w:r>
      <w:r>
        <w:rPr>
          <w:color w:val="000000" w:themeColor="text1"/>
          <w14:textFill>
            <w14:solidFill>
              <w14:schemeClr w14:val="tx1"/>
            </w14:solidFill>
          </w14:textFill>
        </w:rPr>
        <w:t>数/该级教育</w:t>
      </w:r>
      <w:r>
        <w:rPr>
          <w:rFonts w:hint="eastAsia"/>
          <w:color w:val="000000" w:themeColor="text1"/>
          <w14:textFill>
            <w14:solidFill>
              <w14:schemeClr w14:val="tx1"/>
            </w14:solidFill>
          </w14:textFill>
        </w:rPr>
        <w:t>学校总</w:t>
      </w:r>
      <w:r>
        <w:rPr>
          <w:color w:val="000000" w:themeColor="text1"/>
          <w14:textFill>
            <w14:solidFill>
              <w14:schemeClr w14:val="tx1"/>
            </w14:solidFill>
          </w14:textFill>
        </w:rPr>
        <w:t>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教育信息化</w:t>
      </w:r>
      <w:r>
        <w:rPr>
          <w:rFonts w:hint="eastAsia"/>
          <w:color w:val="000000" w:themeColor="text1"/>
          <w14:textFill>
            <w14:solidFill>
              <w14:schemeClr w14:val="tx1"/>
            </w14:solidFill>
          </w14:textFill>
        </w:rPr>
        <w:t>的一个方面是教学课程的网络化</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提供的上网课程数量越多</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说明学校课程信息化的程度越高，为学生提供的数字课程资源越充足。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网络课程的相对</w:t>
      </w:r>
      <w:r>
        <w:rPr>
          <w:color w:val="000000" w:themeColor="text1"/>
          <w14:textFill>
            <w14:solidFill>
              <w14:schemeClr w14:val="tx1"/>
            </w14:solidFill>
          </w14:textFill>
        </w:rPr>
        <w:t>数量情况，不能体现</w:t>
      </w:r>
      <w:r>
        <w:rPr>
          <w:rFonts w:hint="eastAsia"/>
          <w:color w:val="000000" w:themeColor="text1"/>
          <w14:textFill>
            <w14:solidFill>
              <w14:schemeClr w14:val="tx1"/>
            </w14:solidFill>
          </w14:textFill>
        </w:rPr>
        <w:t>网络课程</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质量与</w:t>
      </w:r>
      <w:r>
        <w:rPr>
          <w:color w:val="000000" w:themeColor="text1"/>
          <w14:textFill>
            <w14:solidFill>
              <w14:schemeClr w14:val="tx1"/>
            </w14:solidFill>
          </w14:textFill>
        </w:rPr>
        <w:t>效果。</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网络课程总</w:t>
      </w:r>
      <w:r>
        <w:rPr>
          <w:color w:val="000000" w:themeColor="text1"/>
          <w14:textFill>
            <w14:solidFill>
              <w14:schemeClr w14:val="tx1"/>
            </w14:solidFill>
          </w14:textFill>
        </w:rPr>
        <w:t>数/中等职业</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校均网络课程数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网络课程总数</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学校总</w:t>
      </w:r>
      <w:r>
        <w:rPr>
          <w:color w:val="000000" w:themeColor="text1"/>
          <w14:textFill>
            <w14:solidFill>
              <w14:schemeClr w14:val="tx1"/>
            </w14:solidFill>
          </w14:textFill>
        </w:rPr>
        <w:t>数</w:t>
      </w:r>
    </w:p>
    <w:p>
      <w:pPr>
        <w:pStyle w:val="2"/>
        <w:rPr>
          <w:color w:val="000000" w:themeColor="text1"/>
          <w14:textFill>
            <w14:solidFill>
              <w14:schemeClr w14:val="tx1"/>
            </w14:solidFill>
          </w14:textFill>
        </w:rPr>
      </w:pPr>
      <w:bookmarkStart w:id="217" w:name="_Toc59961203"/>
      <w:r>
        <w:rPr>
          <w:rFonts w:hint="eastAsia"/>
          <w:color w:val="000000" w:themeColor="text1"/>
          <w14:textFill>
            <w14:solidFill>
              <w14:schemeClr w14:val="tx1"/>
            </w14:solidFill>
          </w14:textFill>
        </w:rPr>
        <w:t>（五）学校医疗、卫生、安全情况</w:t>
      </w:r>
      <w:bookmarkEnd w:id="217"/>
    </w:p>
    <w:p>
      <w:pPr>
        <w:pStyle w:val="3"/>
        <w:rPr>
          <w:color w:val="000000" w:themeColor="text1"/>
          <w14:textFill>
            <w14:solidFill>
              <w14:schemeClr w14:val="tx1"/>
            </w14:solidFill>
          </w14:textFill>
        </w:rPr>
      </w:pPr>
      <w:bookmarkStart w:id="218" w:name="_Toc59961204"/>
      <w:r>
        <w:rPr>
          <w:color w:val="000000" w:themeColor="text1"/>
          <w14:textFill>
            <w14:solidFill>
              <w14:schemeClr w14:val="tx1"/>
            </w14:solidFill>
          </w14:textFill>
        </w:rPr>
        <w:t>96</w:t>
      </w:r>
      <w:r>
        <w:rPr>
          <w:rFonts w:hint="eastAsia"/>
          <w:color w:val="000000" w:themeColor="text1"/>
          <w14:textFill>
            <w14:solidFill>
              <w14:schemeClr w14:val="tx1"/>
            </w14:solidFill>
          </w14:textFill>
        </w:rPr>
        <w:t>. 中（小）学有校医院（卫生室）的学校比例（%）</w:t>
      </w:r>
      <w:bookmarkEnd w:id="218"/>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中（小）学有校医院（卫生室）的学校比例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是指中（小）学有校医院（卫生室）的学校数占中（小）学学校总数的百分比。卫生室</w:t>
      </w:r>
      <w:r>
        <w:rPr>
          <w:rStyle w:val="36"/>
          <w:color w:val="000000" w:themeColor="text1"/>
          <w14:textFill>
            <w14:solidFill>
              <w14:schemeClr w14:val="tx1"/>
            </w14:solidFill>
          </w14:textFill>
        </w:rPr>
        <w:footnoteReference w:id="7"/>
      </w:r>
      <w:r>
        <w:rPr>
          <w:color w:val="000000" w:themeColor="text1"/>
          <w14:textFill>
            <w14:solidFill>
              <w14:schemeClr w14:val="tx1"/>
            </w14:solidFill>
          </w14:textFill>
        </w:rPr>
        <w:t>是指取得《医疗机构执业许可证》的学校卫生机构，承担学校预防保健、健康教育、常见病和传染病预防与控制、学校卫生日常检查并为师生提供必要的医疗服务。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该指标可监测学校的医疗卫生情况，可作为教育条件保障类指标。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中（小）学有校医院（卫生室）的学校比例=中（小）学有校医院（卫生室）的学校数/中（小）学学校总数*100%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中（小）学有校医院（卫生室）的学校比例越高，学生的卫生保健、疾病防控等越有保障。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该指标只能反映拥有校医院（卫生室）</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中（小）学学校比例，未能反映学校</w:t>
      </w:r>
      <w:r>
        <w:rPr>
          <w:rFonts w:hint="eastAsia"/>
          <w:color w:val="000000" w:themeColor="text1"/>
          <w14:textFill>
            <w14:solidFill>
              <w14:schemeClr w14:val="tx1"/>
            </w14:solidFill>
          </w14:textFill>
        </w:rPr>
        <w:t>校</w:t>
      </w:r>
      <w:r>
        <w:rPr>
          <w:color w:val="000000" w:themeColor="text1"/>
          <w14:textFill>
            <w14:solidFill>
              <w14:schemeClr w14:val="tx1"/>
            </w14:solidFill>
          </w14:textFill>
        </w:rPr>
        <w:t>医院（卫生室）设置与师生需求的匹配情况。</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（1）小学有校医院（卫生室）的学校比例（%）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=小学有校医院（卫生室）的学校数/小学学校总数*100%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（2）初中有校医院（卫生室）的学校比例（%）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=初中有校医院（卫生室）的学校数/初中学校总数*100%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（3）普通高中有校医院（卫生室）的学校比例（%）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=普通高中有校医院（卫生室）的学校数/普通高中学校总数*100%</w:t>
      </w:r>
    </w:p>
    <w:p>
      <w:pPr>
        <w:pStyle w:val="3"/>
        <w:rPr>
          <w:color w:val="000000" w:themeColor="text1"/>
          <w14:textFill>
            <w14:solidFill>
              <w14:schemeClr w14:val="tx1"/>
            </w14:solidFill>
          </w14:textFill>
        </w:rPr>
      </w:pPr>
      <w:bookmarkStart w:id="219" w:name="_Toc9848818"/>
      <w:bookmarkStart w:id="220" w:name="_Toc59961205"/>
      <w:r>
        <w:rPr>
          <w:color w:val="000000" w:themeColor="text1"/>
          <w14:textFill>
            <w14:solidFill>
              <w14:schemeClr w14:val="tx1"/>
            </w14:solidFill>
          </w14:textFill>
        </w:rPr>
        <w:t>97</w:t>
      </w:r>
      <w:r>
        <w:rPr>
          <w:rFonts w:hint="eastAsia"/>
          <w:color w:val="000000" w:themeColor="text1"/>
          <w14:textFill>
            <w14:solidFill>
              <w14:schemeClr w14:val="tx1"/>
            </w14:solidFill>
          </w14:textFill>
        </w:rPr>
        <w:t>. 中（小）学有专职校医的学校比例（%）</w:t>
      </w:r>
      <w:bookmarkEnd w:id="219"/>
      <w:bookmarkEnd w:id="220"/>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中（小）学有专职校医的学校比例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是指中（小）学有专职校医的学校数占中（小）学学校总数的百分比。校医</w:t>
      </w:r>
      <w:r>
        <w:rPr>
          <w:rStyle w:val="36"/>
          <w:color w:val="000000" w:themeColor="text1"/>
          <w14:textFill>
            <w14:solidFill>
              <w14:schemeClr w14:val="tx1"/>
            </w14:solidFill>
          </w14:textFill>
        </w:rPr>
        <w:footnoteReference w:id="8"/>
      </w:r>
      <w:r>
        <w:rPr>
          <w:color w:val="000000" w:themeColor="text1"/>
          <w14:textFill>
            <w14:solidFill>
              <w14:schemeClr w14:val="tx1"/>
            </w14:solidFill>
          </w14:textFill>
        </w:rPr>
        <w:t>是指接受学校卫生专业知识和急救技能培训，并取得相应的合格证书的卫生专业技术人员。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该指标可监测学校的校医配置情况，可作为教育条件保障类指标。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中（小）学有专职校医的学校比例=中（小）学有专职校医的学校数/中（小）学学校总数*100%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中（小）学有专职校医的学校比例高，说明该地区</w:t>
      </w:r>
      <w:r>
        <w:rPr>
          <w:rFonts w:hint="eastAsia"/>
          <w:color w:val="000000" w:themeColor="text1"/>
          <w14:textFill>
            <w14:solidFill>
              <w14:schemeClr w14:val="tx1"/>
            </w14:solidFill>
          </w14:textFill>
        </w:rPr>
        <w:t>中（小）学</w:t>
      </w:r>
      <w:r>
        <w:rPr>
          <w:color w:val="000000" w:themeColor="text1"/>
          <w14:textFill>
            <w14:solidFill>
              <w14:schemeClr w14:val="tx1"/>
            </w14:solidFill>
          </w14:textFill>
        </w:rPr>
        <w:t>学校的医疗建设情况好。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该指标只能反映有专职校医</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中（小）学学校比例，不能反映学校医务人员能否满足学生和教师的医疗需求。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（1）小学有专职校医的学校比例（%）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=小学有专职校医的学校数/小学学校总数*100%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（2）初中有专职校医的学校比例（%）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=初中有专职校医的学校数/初中学校总数*100%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（3）普通高中有专职校医的学校比例（%）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=普通高中有专职校医的学校数/普通高中学校总数*100%</w:t>
      </w:r>
    </w:p>
    <w:p>
      <w:pPr>
        <w:pStyle w:val="3"/>
        <w:rPr>
          <w:color w:val="000000" w:themeColor="text1"/>
          <w14:textFill>
            <w14:solidFill>
              <w14:schemeClr w14:val="tx1"/>
            </w14:solidFill>
          </w14:textFill>
        </w:rPr>
      </w:pPr>
      <w:bookmarkStart w:id="221" w:name="_Toc59961206"/>
      <w:bookmarkStart w:id="222" w:name="_Toc9848819"/>
      <w:r>
        <w:rPr>
          <w:color w:val="000000" w:themeColor="text1"/>
          <w14:textFill>
            <w14:solidFill>
              <w14:schemeClr w14:val="tx1"/>
            </w14:solidFill>
          </w14:textFill>
        </w:rPr>
        <w:t>98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有专职保健人员的学校比例（%）</w:t>
      </w:r>
      <w:bookmarkEnd w:id="221"/>
      <w:bookmarkEnd w:id="222"/>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有专职保健人员的学校比例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是指中（小）学</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有专职保健人员的学校</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数占中（小）学学校</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该指标可反映学校专职保健人员的配置情况，可作为教育条件保障类指标。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有专职保健人员的学校比例=中（小）学</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有专职保健人员的学校</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数/中（小）学</w:t>
      </w:r>
      <w:r>
        <w:rPr>
          <w:rFonts w:hint="eastAsia"/>
          <w:color w:val="000000" w:themeColor="text1"/>
          <w14:textFill>
            <w14:solidFill>
              <w14:schemeClr w14:val="tx1"/>
            </w14:solidFill>
          </w14:textFill>
        </w:rPr>
        <w:t>校（幼儿园）</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中（小）学有专职保健人员的学校比例高，说明该地区学校的学生保健工作建设情况好。</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该指标反映中（小）学有专职保健人员的学校比例，不能反映学校专职保健人员能否满足学生和教师的需求。</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）幼儿园有专职卫生保健人员的园数比例（%）</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=幼儿园有专职卫生保健人员的园数/幼儿园总数</w:t>
      </w:r>
      <w:r>
        <w:rPr>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（2）小学有专职保健人员的学校比例（%）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=小学有专职保健人员的学校数/小学学校总数*100%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（3）初中有专职保健人员的学校比例（%）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=初中有专职保健人员的学校数/初中学校总数*100%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（4）普通高中有专职保健人员的学校比例（%）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=普通高中有专职保健人员的学校数/普通高中学校总数*100%</w:t>
      </w:r>
    </w:p>
    <w:p>
      <w:pPr>
        <w:pStyle w:val="3"/>
        <w:rPr>
          <w:color w:val="000000" w:themeColor="text1"/>
          <w14:textFill>
            <w14:solidFill>
              <w14:schemeClr w14:val="tx1"/>
            </w14:solidFill>
          </w14:textFill>
        </w:rPr>
      </w:pPr>
      <w:bookmarkStart w:id="223" w:name="_Toc21418938"/>
      <w:bookmarkStart w:id="224" w:name="_Toc54862058"/>
      <w:bookmarkStart w:id="225" w:name="_Toc59961207"/>
      <w:bookmarkStart w:id="226" w:name="_Toc9848820"/>
      <w:r>
        <w:rPr>
          <w:color w:val="000000" w:themeColor="text1"/>
          <w14:textFill>
            <w14:solidFill>
              <w14:schemeClr w14:val="tx1"/>
            </w14:solidFill>
          </w14:textFill>
        </w:rPr>
        <w:t>99</w:t>
      </w:r>
      <w:r>
        <w:rPr>
          <w:rFonts w:hint="eastAsia"/>
          <w:color w:val="000000" w:themeColor="text1"/>
          <w14:textFill>
            <w14:solidFill>
              <w14:schemeClr w14:val="tx1"/>
            </w14:solidFill>
          </w14:textFill>
        </w:rPr>
        <w:t>. 有安全保卫人员的学校比例（%）</w:t>
      </w:r>
      <w:bookmarkEnd w:id="223"/>
      <w:bookmarkEnd w:id="224"/>
      <w:bookmarkEnd w:id="225"/>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有安全保卫人员的学校比例，是指某一级教育有安全保卫人员的学校数占该级教育学校总数的百分比。安全保卫人员包括从事安全保卫工作的校内职工、临时工、外聘保安公司等人员。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该指标可以反映</w:t>
      </w:r>
      <w:r>
        <w:rPr>
          <w:rFonts w:hint="eastAsia"/>
          <w:color w:val="000000" w:themeColor="text1"/>
          <w14:textFill>
            <w14:solidFill>
              <w14:schemeClr w14:val="tx1"/>
            </w14:solidFill>
          </w14:textFill>
        </w:rPr>
        <w:t>学校安全状况，可作为教育条件保障类指标</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有安全保卫人员的学校比例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某一级教育有安全保卫人员的学校数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该级教育学校总数</w:t>
      </w:r>
      <w:r>
        <w:rPr>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；分城乡（中等职业学校和普通高校除外）</w:t>
      </w:r>
      <w:r>
        <w:rPr>
          <w:rFonts w:hint="eastAsia"/>
          <w:color w:val="000000" w:themeColor="text1"/>
          <w14:textFill>
            <w14:solidFill>
              <w14:schemeClr w14:val="tx1"/>
            </w14:solidFill>
          </w14:textFill>
        </w:rPr>
        <w:t>；分办别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有安全保卫人员的学校比例越高，</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该级教育校园安全程度相对越好</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有安全保卫人员的学校比例是体现学校安全状况</w:t>
      </w:r>
      <w:r>
        <w:rPr>
          <w:color w:val="000000" w:themeColor="text1"/>
          <w14:textFill>
            <w14:solidFill>
              <w14:schemeClr w14:val="tx1"/>
            </w14:solidFill>
          </w14:textFill>
        </w:rPr>
        <w:t>的一个方面，该指标只能作为反映</w:t>
      </w:r>
      <w:r>
        <w:rPr>
          <w:rFonts w:hint="eastAsia"/>
          <w:color w:val="000000" w:themeColor="text1"/>
          <w14:textFill>
            <w14:solidFill>
              <w14:schemeClr w14:val="tx1"/>
            </w14:solidFill>
          </w14:textFill>
        </w:rPr>
        <w:t>学校安全程度</w:t>
      </w:r>
      <w:r>
        <w:rPr>
          <w:color w:val="000000" w:themeColor="text1"/>
          <w14:textFill>
            <w14:solidFill>
              <w14:schemeClr w14:val="tx1"/>
            </w14:solidFill>
          </w14:textFill>
        </w:rPr>
        <w:t>的一个参照指标。</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安全保卫人员的</w:t>
      </w:r>
      <w:r>
        <w:rPr>
          <w:color w:val="000000" w:themeColor="text1"/>
          <w14:textFill>
            <w14:solidFill>
              <w14:schemeClr w14:val="tx1"/>
            </w14:solidFill>
          </w14:textFill>
        </w:rPr>
        <w:t>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安全保卫人员</w:t>
      </w:r>
      <w:r>
        <w:rPr>
          <w:color w:val="000000" w:themeColor="text1"/>
          <w14:textFill>
            <w14:solidFill>
              <w14:schemeClr w14:val="tx1"/>
            </w14:solidFill>
          </w14:textFill>
        </w:rPr>
        <w:t>的学校数/特殊教育学校总数*100%</w:t>
      </w:r>
    </w:p>
    <w:p>
      <w:pPr>
        <w:pStyle w:val="3"/>
        <w:rPr>
          <w:color w:val="000000" w:themeColor="text1"/>
          <w14:textFill>
            <w14:solidFill>
              <w14:schemeClr w14:val="tx1"/>
            </w14:solidFill>
          </w14:textFill>
        </w:rPr>
      </w:pPr>
      <w:bookmarkStart w:id="227" w:name="_Toc59961208"/>
      <w:r>
        <w:rPr>
          <w:color w:val="000000" w:themeColor="text1"/>
          <w14:textFill>
            <w14:solidFill>
              <w14:schemeClr w14:val="tx1"/>
            </w14:solidFill>
          </w14:textFill>
        </w:rPr>
        <w:t>100</w:t>
      </w:r>
      <w:r>
        <w:rPr>
          <w:rFonts w:hint="eastAsia"/>
          <w:color w:val="000000" w:themeColor="text1"/>
          <w14:textFill>
            <w14:solidFill>
              <w14:schemeClr w14:val="tx1"/>
            </w14:solidFill>
          </w14:textFill>
        </w:rPr>
        <w:t>. 有网管供水的学校比例（%）</w:t>
      </w:r>
      <w:bookmarkEnd w:id="226"/>
      <w:bookmarkEnd w:id="227"/>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有网管供水的学校比例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是指某一级教育有网管供水的学校数占该级教育学校总数的百分比。网管供水即通常说的自来水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是指市政供水部门通过管网将水输送至学校内。</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该指标可监测学校的供水情况，可作为教育条件保障类指标。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有网管供水的学校比例=某一级教育有网管供水的学校数/该级教育学校总数*100%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按照有关要求</w:t>
      </w:r>
      <w:r>
        <w:rPr>
          <w:rStyle w:val="36"/>
          <w:color w:val="000000" w:themeColor="text1"/>
          <w14:textFill>
            <w14:solidFill>
              <w14:schemeClr w14:val="tx1"/>
            </w14:solidFill>
          </w14:textFill>
        </w:rPr>
        <w:footnoteReference w:id="9"/>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学校必须为学生提供充足、安全卫生的饮水以及相关设施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有网管供水的学校比例越高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说明更有能力为学生提供安全用水的学校越多。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该指标仅能反映有网管供水</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学校比例，不能完全反映学生生活用水安全的</w:t>
      </w:r>
      <w:r>
        <w:rPr>
          <w:rFonts w:hint="eastAsia"/>
          <w:color w:val="000000" w:themeColor="text1"/>
          <w14:textFill>
            <w14:solidFill>
              <w14:schemeClr w14:val="tx1"/>
            </w14:solidFill>
          </w14:textFill>
        </w:rPr>
        <w:t>整体情况</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有网管供水的园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=幼儿园有网管供水的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=小学有网管供水的学校数/小学学校总数*100%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=初中有网管供水的学校数/初中学校总数*100%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=普通高中有网管供水的学校数/普通高中学校总数*100%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有网管供水的学校比例（%）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有网管供水的学校数/特殊教育学校总数*100%</w:t>
      </w:r>
    </w:p>
    <w:p>
      <w:pPr>
        <w:pStyle w:val="3"/>
        <w:rPr>
          <w:color w:val="000000" w:themeColor="text1"/>
          <w14:textFill>
            <w14:solidFill>
              <w14:schemeClr w14:val="tx1"/>
            </w14:solidFill>
          </w14:textFill>
        </w:rPr>
      </w:pPr>
      <w:bookmarkStart w:id="228" w:name="_Toc54862057"/>
      <w:bookmarkStart w:id="229" w:name="_Toc59961209"/>
      <w:bookmarkStart w:id="230" w:name="_Toc9848821"/>
      <w:r>
        <w:rPr>
          <w:color w:val="000000" w:themeColor="text1"/>
          <w14:textFill>
            <w14:solidFill>
              <w14:schemeClr w14:val="tx1"/>
            </w14:solidFill>
          </w14:textFill>
        </w:rPr>
        <w:t>101</w:t>
      </w:r>
      <w:r>
        <w:rPr>
          <w:rFonts w:hint="eastAsia"/>
          <w:color w:val="000000" w:themeColor="text1"/>
          <w14:textFill>
            <w14:solidFill>
              <w14:schemeClr w14:val="tx1"/>
            </w14:solidFill>
          </w14:textFill>
        </w:rPr>
        <w:t>. 有基本洗手设施的学校比例（%）</w:t>
      </w:r>
      <w:bookmarkEnd w:id="228"/>
      <w:bookmarkEnd w:id="229"/>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有基本洗手设施的学校比例，是指某一级教育提供水和肥皂等基本洗手设施的学校数占该级教育学校总数的百分比。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该指标可监测学校的卫生情况，可作为教育条件保障类指标。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有基本洗手设施的学校比例=某一级教育有基本洗手设施的学校数/该级教育学校总数*100%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基本洗手设施的</w:t>
      </w:r>
      <w:r>
        <w:rPr>
          <w:color w:val="000000" w:themeColor="text1"/>
          <w14:textFill>
            <w14:solidFill>
              <w14:schemeClr w14:val="tx1"/>
            </w14:solidFill>
          </w14:textFill>
        </w:rPr>
        <w:t>学校比例越高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说明有</w:t>
      </w:r>
      <w:r>
        <w:rPr>
          <w:rFonts w:hint="eastAsia"/>
          <w:color w:val="000000" w:themeColor="text1"/>
          <w14:textFill>
            <w14:solidFill>
              <w14:schemeClr w14:val="tx1"/>
            </w14:solidFill>
          </w14:textFill>
        </w:rPr>
        <w:t>相对</w:t>
      </w:r>
      <w:r>
        <w:rPr>
          <w:color w:val="000000" w:themeColor="text1"/>
          <w14:textFill>
            <w14:solidFill>
              <w14:schemeClr w14:val="tx1"/>
            </w14:solidFill>
          </w14:textFill>
        </w:rPr>
        <w:t>良好卫生条件的学校越多。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该指标只能作为反映</w:t>
      </w:r>
      <w:r>
        <w:rPr>
          <w:rFonts w:hint="eastAsia"/>
          <w:color w:val="000000" w:themeColor="text1"/>
          <w14:textFill>
            <w14:solidFill>
              <w14:schemeClr w14:val="tx1"/>
            </w14:solidFill>
          </w14:textFill>
        </w:rPr>
        <w:t>学校卫生条件</w:t>
      </w:r>
      <w:r>
        <w:rPr>
          <w:color w:val="000000" w:themeColor="text1"/>
          <w14:textFill>
            <w14:solidFill>
              <w14:schemeClr w14:val="tx1"/>
            </w14:solidFill>
          </w14:textFill>
        </w:rPr>
        <w:t>水平的一个</w:t>
      </w:r>
      <w:r>
        <w:rPr>
          <w:rFonts w:hint="eastAsia"/>
          <w:color w:val="000000" w:themeColor="text1"/>
          <w14:textFill>
            <w14:solidFill>
              <w14:schemeClr w14:val="tx1"/>
            </w14:solidFill>
          </w14:textFill>
        </w:rPr>
        <w:t>参照指标，不能说明洗手设施数量及是否能满足师生需求</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幼儿园有基本洗手设施</w:t>
      </w:r>
      <w:r>
        <w:rPr>
          <w:color w:val="000000" w:themeColor="text1"/>
          <w14:textFill>
            <w14:solidFill>
              <w14:schemeClr w14:val="tx1"/>
            </w14:solidFill>
          </w14:textFill>
        </w:rPr>
        <w:t>的园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=幼儿园</w:t>
      </w:r>
      <w:r>
        <w:rPr>
          <w:rFonts w:hint="eastAsia"/>
          <w:color w:val="000000" w:themeColor="text1"/>
          <w14:textFill>
            <w14:solidFill>
              <w14:schemeClr w14:val="tx1"/>
            </w14:solidFill>
          </w14:textFill>
        </w:rPr>
        <w:t>有基本洗手设施</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基本洗手设施</w:t>
      </w:r>
      <w:r>
        <w:rPr>
          <w:color w:val="000000" w:themeColor="text1"/>
          <w14:textFill>
            <w14:solidFill>
              <w14:schemeClr w14:val="tx1"/>
            </w14:solidFill>
          </w14:textFill>
        </w:rPr>
        <w:t>的学校数/特殊教育学校总数*100%</w:t>
      </w:r>
    </w:p>
    <w:p>
      <w:pPr>
        <w:pStyle w:val="3"/>
        <w:rPr>
          <w:color w:val="000000" w:themeColor="text1"/>
          <w14:textFill>
            <w14:solidFill>
              <w14:schemeClr w14:val="tx1"/>
            </w14:solidFill>
          </w14:textFill>
        </w:rPr>
      </w:pPr>
      <w:bookmarkStart w:id="231" w:name="_Toc59961210"/>
      <w:r>
        <w:rPr>
          <w:color w:val="000000" w:themeColor="text1"/>
          <w14:textFill>
            <w14:solidFill>
              <w14:schemeClr w14:val="tx1"/>
            </w14:solidFill>
          </w14:textFill>
        </w:rPr>
        <w:t>102</w:t>
      </w:r>
      <w:r>
        <w:rPr>
          <w:rFonts w:hint="eastAsia"/>
          <w:color w:val="000000" w:themeColor="text1"/>
          <w14:textFill>
            <w14:solidFill>
              <w14:schemeClr w14:val="tx1"/>
            </w14:solidFill>
          </w14:textFill>
        </w:rPr>
        <w:t>. 有卫生厕所的学校比例（%）</w:t>
      </w:r>
      <w:bookmarkEnd w:id="230"/>
      <w:bookmarkEnd w:id="231"/>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有卫生厕所的学校比例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是指某一级教育有卫生厕所的学校数占该级教育学校总数的百分比。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监测学校的卫生厕所配置情况，可作为教育条件保障类指标。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有卫生厕所的学校比例=某一级教育有卫生厕所的学校数/该级教育学校总数*100%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有卫生厕所学校比例越高说明有良好卫生条件的学校越多。</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该指标主要反映有卫生厕所的学校比例，不能说明卫生厕所能否满足师生需求。</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有卫生厕所的园</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比例（%）</w:t>
      </w:r>
    </w:p>
    <w:p>
      <w:pPr>
        <w:rPr>
          <w:color w:val="000000" w:themeColor="text1"/>
          <w14:textFill>
            <w14:solidFill>
              <w14:schemeClr w14:val="tx1"/>
            </w14:solidFill>
          </w14:textFill>
        </w:rPr>
      </w:pPr>
      <w:r>
        <w:rPr>
          <w:color w:val="000000" w:themeColor="text1"/>
          <w14:textFill>
            <w14:solidFill>
              <w14:schemeClr w14:val="tx1"/>
            </w14:solidFill>
          </w14:textFill>
        </w:rPr>
        <w:t>=幼儿园有卫生厕所的</w:t>
      </w:r>
      <w:r>
        <w:rPr>
          <w:rFonts w:hint="eastAsia"/>
          <w:color w:val="000000" w:themeColor="text1"/>
          <w14:textFill>
            <w14:solidFill>
              <w14:schemeClr w14:val="tx1"/>
            </w14:solidFill>
          </w14:textFill>
        </w:rPr>
        <w:t>园</w:t>
      </w:r>
      <w:r>
        <w:rPr>
          <w:color w:val="000000" w:themeColor="text1"/>
          <w14:textFill>
            <w14:solidFill>
              <w14:schemeClr w14:val="tx1"/>
            </w14:solidFill>
          </w14:textFill>
        </w:rPr>
        <w:t>数/幼儿园总数*100%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=小学有卫生厕所的学校数/小学学校总数*100%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=初中有卫生厕所的学校数/初中学校总数*100%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=普通高中有卫生厕所的学校数/普通高中学校总数*100%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有卫生厕所的学校比例（%）</w:t>
      </w:r>
    </w:p>
    <w:p>
      <w:pPr>
        <w:rPr>
          <w:color w:val="000000" w:themeColor="text1"/>
          <w14:textFill>
            <w14:solidFill>
              <w14:schemeClr w14:val="tx1"/>
            </w14:solidFill>
          </w14:textFill>
        </w:rPr>
      </w:pPr>
      <w:r>
        <w:rPr>
          <w:color w:val="000000" w:themeColor="text1"/>
          <w14:textFill>
            <w14:solidFill>
              <w14:schemeClr w14:val="tx1"/>
            </w14:solidFill>
          </w14:textFill>
        </w:rPr>
        <w:t>=特殊教育</w:t>
      </w:r>
      <w:r>
        <w:rPr>
          <w:rFonts w:hint="eastAsia"/>
          <w:color w:val="000000" w:themeColor="text1"/>
          <w14:textFill>
            <w14:solidFill>
              <w14:schemeClr w14:val="tx1"/>
            </w14:solidFill>
          </w14:textFill>
        </w:rPr>
        <w:t>学校</w:t>
      </w:r>
      <w:r>
        <w:rPr>
          <w:color w:val="000000" w:themeColor="text1"/>
          <w14:textFill>
            <w14:solidFill>
              <w14:schemeClr w14:val="tx1"/>
            </w14:solidFill>
          </w14:textFill>
        </w:rPr>
        <w:t>有卫生厕所的学校数/特殊教育学校总数*100%</w:t>
      </w:r>
    </w:p>
    <w:p>
      <w:pPr>
        <w:pStyle w:val="3"/>
        <w:rPr>
          <w:color w:val="000000" w:themeColor="text1"/>
          <w14:textFill>
            <w14:solidFill>
              <w14:schemeClr w14:val="tx1"/>
            </w14:solidFill>
          </w14:textFill>
        </w:rPr>
      </w:pPr>
      <w:bookmarkStart w:id="232" w:name="_Toc9848822"/>
      <w:bookmarkStart w:id="233" w:name="_Toc59961211"/>
      <w:r>
        <w:rPr>
          <w:color w:val="000000" w:themeColor="text1"/>
          <w14:textFill>
            <w14:solidFill>
              <w14:schemeClr w14:val="tx1"/>
            </w14:solidFill>
          </w14:textFill>
        </w:rPr>
        <w:t>103</w:t>
      </w:r>
      <w:r>
        <w:rPr>
          <w:rFonts w:hint="eastAsia"/>
          <w:color w:val="000000" w:themeColor="text1"/>
          <w14:textFill>
            <w14:solidFill>
              <w14:schemeClr w14:val="tx1"/>
            </w14:solidFill>
          </w14:textFill>
        </w:rPr>
        <w:t>. 在校生死亡人数所占比例（%）</w:t>
      </w:r>
      <w:bookmarkEnd w:id="232"/>
      <w:bookmarkEnd w:id="233"/>
      <w:r>
        <w:rPr>
          <w:rFonts w:hint="eastAsia"/>
          <w:color w:val="000000" w:themeColor="text1"/>
          <w14:textFill>
            <w14:solidFill>
              <w14:schemeClr w14:val="tx1"/>
            </w14:solidFill>
          </w14:textFill>
        </w:rPr>
        <w:tab/>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在校生死亡人数所占比例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在校生死亡人数占</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该级教育在校生总数的百分比。在校生死亡的原因分为事故灾难类、社会安全类、自然灾害类以及自杀、猝死、传染病等。事故灾难类死亡原因包括溺水、交通、拥挤踩踏、房屋倒塌、坠楼坠崖、中毒、爆炸、火灾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社会安全类原因包括打架斗殴、校园伤害和刑事案件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自然灾害类原因包括山体滑坡、泥石流、洪水、地震、暴雨、冰雹、雪灾和龙卷风等。</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该指标可监测学校安全，反映在校学生死亡情况。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在校生死亡人数所占比例=某一级教育</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该级教育</w:t>
      </w:r>
      <w:r>
        <w:rPr>
          <w:rFonts w:hint="eastAsia"/>
          <w:color w:val="000000" w:themeColor="text1"/>
          <w14:textFill>
            <w14:solidFill>
              <w14:schemeClr w14:val="tx1"/>
            </w14:solidFill>
          </w14:textFill>
        </w:rPr>
        <w:t>在校生</w:t>
      </w:r>
      <w:r>
        <w:rPr>
          <w:color w:val="000000" w:themeColor="text1"/>
          <w14:textFill>
            <w14:solidFill>
              <w14:schemeClr w14:val="tx1"/>
            </w14:solidFill>
          </w14:textFill>
        </w:rPr>
        <w:t>总数*100%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w:t>
      </w:r>
      <w:r>
        <w:rPr>
          <w:rFonts w:hint="eastAsia"/>
          <w:color w:val="000000" w:themeColor="text1"/>
          <w14:textFill>
            <w14:solidFill>
              <w14:schemeClr w14:val="tx1"/>
            </w14:solidFill>
          </w14:textFill>
        </w:rPr>
        <w:t>和普通高校</w:t>
      </w:r>
      <w:r>
        <w:rPr>
          <w:color w:val="000000" w:themeColor="text1"/>
          <w14:textFill>
            <w14:solidFill>
              <w14:schemeClr w14:val="tx1"/>
            </w14:solidFill>
          </w14:textFill>
        </w:rPr>
        <w:t>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r>
        <w:rPr>
          <w:rFonts w:hint="eastAsia"/>
          <w:color w:val="000000" w:themeColor="text1"/>
          <w14:textFill>
            <w14:solidFill>
              <w14:schemeClr w14:val="tx1"/>
            </w14:solidFill>
          </w14:textFill>
        </w:rPr>
        <w:t>（普通高校不适用于地级和县级）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保障学生校园安全，加强学生安全教育是学校的一项重要职责，该指标值的大小及变化反映学生</w:t>
      </w:r>
      <w:r>
        <w:rPr>
          <w:rFonts w:hint="eastAsia"/>
          <w:color w:val="000000" w:themeColor="text1"/>
          <w14:textFill>
            <w14:solidFill>
              <w14:schemeClr w14:val="tx1"/>
            </w14:solidFill>
          </w14:textFill>
        </w:rPr>
        <w:t>生命</w:t>
      </w:r>
      <w:r>
        <w:rPr>
          <w:color w:val="000000" w:themeColor="text1"/>
          <w14:textFill>
            <w14:solidFill>
              <w14:schemeClr w14:val="tx1"/>
            </w14:solidFill>
          </w14:textFill>
        </w:rPr>
        <w:t>安全的整体形势，各级教育部门及学校必须予以重视。</w:t>
      </w:r>
    </w:p>
    <w:p>
      <w:pPr>
        <w:ind w:firstLine="482"/>
        <w:rPr>
          <w:rFonts w:ascii="黑体" w:hAnsi="黑体" w:eastAsia="黑体"/>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该指标只反映在校学生死亡人数所占比例情况，未考察学生死亡的原因、地点等，使用时可结合相关信息综合考察。</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（1）在园（班）幼儿死亡人数所占比例（%）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注：本指标统计独立设置幼儿园和附设幼儿班中的幼儿。</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注：本指标统计特殊教育学校和附设特教班中的学生。</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（6）中等职业学校在校生死亡人数所占比例（%）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中职学校在校生死亡人数/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中职学校在校生总数*100%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普通高校在</w:t>
      </w:r>
      <w:r>
        <w:rPr>
          <w:color w:val="000000" w:themeColor="text1"/>
          <w14:textFill>
            <w14:solidFill>
              <w14:schemeClr w14:val="tx1"/>
            </w14:solidFill>
          </w14:textFill>
        </w:rPr>
        <w:t>校生死亡人数所占比例（%）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上学年普通高校</w:t>
      </w:r>
      <w:r>
        <w:rPr>
          <w:color w:val="000000" w:themeColor="text1"/>
          <w14:textFill>
            <w14:solidFill>
              <w14:schemeClr w14:val="tx1"/>
            </w14:solidFill>
          </w14:textFill>
        </w:rPr>
        <w:t>在校生死亡人数/</w:t>
      </w:r>
      <w:r>
        <w:rPr>
          <w:rFonts w:hint="eastAsia"/>
          <w:color w:val="000000" w:themeColor="text1"/>
          <w14:textFill>
            <w14:solidFill>
              <w14:schemeClr w14:val="tx1"/>
            </w14:solidFill>
          </w14:textFill>
        </w:rPr>
        <w:t>上学年普通高校</w:t>
      </w:r>
      <w:r>
        <w:rPr>
          <w:color w:val="000000" w:themeColor="text1"/>
          <w14:textFill>
            <w14:solidFill>
              <w14:schemeClr w14:val="tx1"/>
            </w14:solidFill>
          </w14:textFill>
        </w:rPr>
        <w:t>在校生总数*100%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注：本指标中普通高校在校生含普通本专科在校生与研究生在校生。</w:t>
      </w:r>
    </w:p>
    <w:p>
      <w:pPr>
        <w:pStyle w:val="3"/>
        <w:rPr>
          <w:color w:val="000000" w:themeColor="text1"/>
          <w14:textFill>
            <w14:solidFill>
              <w14:schemeClr w14:val="tx1"/>
            </w14:solidFill>
          </w14:textFill>
        </w:rPr>
      </w:pPr>
      <w:bookmarkStart w:id="234" w:name="_Toc9848823"/>
      <w:bookmarkStart w:id="235" w:name="_Toc59961212"/>
      <w:r>
        <w:rPr>
          <w:color w:val="000000" w:themeColor="text1"/>
          <w14:textFill>
            <w14:solidFill>
              <w14:schemeClr w14:val="tx1"/>
            </w14:solidFill>
          </w14:textFill>
        </w:rPr>
        <w:t>104</w:t>
      </w:r>
      <w:r>
        <w:rPr>
          <w:rFonts w:hint="eastAsia"/>
          <w:color w:val="000000" w:themeColor="text1"/>
          <w14:textFill>
            <w14:solidFill>
              <w14:schemeClr w14:val="tx1"/>
            </w14:solidFill>
          </w14:textFill>
        </w:rPr>
        <w:t>. 在校生死亡人数中校内所占比例（%）</w:t>
      </w:r>
      <w:bookmarkEnd w:id="234"/>
      <w:bookmarkEnd w:id="23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在校生死亡人数校内所占比例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是指某一级教育在校生死亡总人数中发生在校内的百分比。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监测学校校园安全情况。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在校生死亡人数中校内所占比例=某一级教育在校生校内死亡人数/该级教育在校生死亡总人数*100%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教育事业统计数据</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r>
        <w:rPr>
          <w:color w:val="000000" w:themeColor="text1"/>
          <w14:textFill>
            <w14:solidFill>
              <w14:schemeClr w14:val="tx1"/>
            </w14:solidFill>
          </w14:textFill>
        </w:rPr>
        <w:t>；分城乡（中等职业学校除外）</w:t>
      </w:r>
      <w:r>
        <w:rPr>
          <w:rFonts w:hint="eastAsia"/>
          <w:color w:val="000000" w:themeColor="text1"/>
          <w14:textFill>
            <w14:solidFill>
              <w14:schemeClr w14:val="tx1"/>
            </w14:solidFill>
          </w14:textFill>
        </w:rPr>
        <w:t>；分办别</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国家级、省级、地级、县级、校级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保障学生校园安全，加强学生安全教育是学校的一项重要职责，若该指标值相对较高，说明必须加强学校校园安全建设工作。</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该指标没有反映学生死亡的原因等信息，对其分析时可结合其他相关</w:t>
      </w:r>
      <w:r>
        <w:rPr>
          <w:rFonts w:hint="eastAsia"/>
          <w:color w:val="000000" w:themeColor="text1"/>
          <w14:textFill>
            <w14:solidFill>
              <w14:schemeClr w14:val="tx1"/>
            </w14:solidFill>
          </w14:textFill>
        </w:rPr>
        <w:t>信息</w:t>
      </w:r>
      <w:r>
        <w:rPr>
          <w:color w:val="000000" w:themeColor="text1"/>
          <w14:textFill>
            <w14:solidFill>
              <w14:schemeClr w14:val="tx1"/>
            </w14:solidFill>
          </w14:textFill>
        </w:rPr>
        <w:t>及地区间比较、年度趋势进行综合评判。</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（1）在园（班）幼儿死亡人数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在园（班）幼儿死亡总人数*100%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注：本指标统计独立设置幼儿园和附设幼儿班中的幼儿。</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（2）小学在校生死亡人数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小学在校生死亡总人数*100%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（3）初中在校生死亡人数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初中在校生死亡总人数*100%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（4）普通高中在校生死亡人数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普通高中在校生死亡总人数*100%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（5）特殊教育在校生死亡人数</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特殊教育在校生死亡总人数*100%</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注：本指标统计特殊教育学校和附设特教班中的学生。</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（6）中等职业学校在校生死亡人数校内所占比例（%）</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上学年中等职业</w:t>
      </w:r>
      <w:r>
        <w:rPr>
          <w:color w:val="000000" w:themeColor="text1"/>
          <w14:textFill>
            <w14:solidFill>
              <w14:schemeClr w14:val="tx1"/>
            </w14:solidFill>
          </w14:textFill>
        </w:rPr>
        <w:t>学校在校生校内死亡人数/</w:t>
      </w:r>
      <w:r>
        <w:rPr>
          <w:rFonts w:hint="eastAsia"/>
          <w:color w:val="000000" w:themeColor="text1"/>
          <w14:textFill>
            <w14:solidFill>
              <w14:schemeClr w14:val="tx1"/>
            </w14:solidFill>
          </w14:textFill>
        </w:rPr>
        <w:t>上学年</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等职业</w:t>
      </w:r>
      <w:r>
        <w:rPr>
          <w:color w:val="000000" w:themeColor="text1"/>
          <w14:textFill>
            <w14:solidFill>
              <w14:schemeClr w14:val="tx1"/>
            </w14:solidFill>
          </w14:textFill>
        </w:rPr>
        <w:t>学校在校生死亡总人数*100%</w:t>
      </w:r>
    </w:p>
    <w:p>
      <w:pPr>
        <w:pStyle w:val="2"/>
        <w:rPr>
          <w:color w:val="000000" w:themeColor="text1"/>
          <w14:textFill>
            <w14:solidFill>
              <w14:schemeClr w14:val="tx1"/>
            </w14:solidFill>
          </w14:textFill>
        </w:rPr>
      </w:pPr>
      <w:bookmarkStart w:id="236" w:name="_Toc59961213"/>
      <w:bookmarkStart w:id="237" w:name="_Toc398192966"/>
      <w:r>
        <w:rPr>
          <w:rFonts w:hint="eastAsia"/>
          <w:color w:val="000000" w:themeColor="text1"/>
          <w14:textFill>
            <w14:solidFill>
              <w14:schemeClr w14:val="tx1"/>
            </w14:solidFill>
          </w14:textFill>
        </w:rPr>
        <w:t>四、</w:t>
      </w:r>
      <w:r>
        <w:rPr>
          <w:color w:val="000000" w:themeColor="text1"/>
          <w14:textFill>
            <w14:solidFill>
              <w14:schemeClr w14:val="tx1"/>
            </w14:solidFill>
          </w14:textFill>
        </w:rPr>
        <w:t>教育经费</w:t>
      </w:r>
      <w:bookmarkEnd w:id="236"/>
      <w:bookmarkEnd w:id="237"/>
    </w:p>
    <w:p>
      <w:pPr>
        <w:pStyle w:val="3"/>
        <w:rPr>
          <w:color w:val="000000" w:themeColor="text1"/>
          <w14:textFill>
            <w14:solidFill>
              <w14:schemeClr w14:val="tx1"/>
            </w14:solidFill>
          </w14:textFill>
        </w:rPr>
      </w:pPr>
      <w:bookmarkStart w:id="238" w:name="_Toc398192967"/>
      <w:bookmarkStart w:id="239" w:name="_Toc59961214"/>
      <w:r>
        <w:rPr>
          <w:color w:val="000000" w:themeColor="text1"/>
          <w14:textFill>
            <w14:solidFill>
              <w14:schemeClr w14:val="tx1"/>
            </w14:solidFill>
          </w14:textFill>
        </w:rPr>
        <w:t xml:space="preserve">105. </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w:t>
      </w:r>
      <w:bookmarkEnd w:id="238"/>
      <w:bookmarkEnd w:id="23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的百分比。</w:t>
      </w:r>
      <w:r>
        <w:rPr>
          <w:rFonts w:hint="eastAsia"/>
          <w:color w:val="000000" w:themeColor="text1"/>
          <w14:textFill>
            <w14:solidFill>
              <w14:schemeClr w14:val="tx1"/>
            </w14:solidFill>
          </w14:textFill>
        </w:rPr>
        <w:t>一般公共预算教育经费</w:t>
      </w:r>
      <w:r>
        <w:rPr>
          <w:color w:val="000000" w:themeColor="text1"/>
          <w14:textFill>
            <w14:solidFill>
              <w14:schemeClr w14:val="tx1"/>
            </w14:solidFill>
          </w14:textFill>
        </w:rPr>
        <w:t>是指</w:t>
      </w:r>
      <w:r>
        <w:rPr>
          <w:rFonts w:hint="eastAsia"/>
          <w:color w:val="000000" w:themeColor="text1"/>
          <w14:textFill>
            <w14:solidFill>
              <w14:schemeClr w14:val="tx1"/>
            </w14:solidFill>
          </w14:textFill>
        </w:rPr>
        <w:t>学校（单位）从同级财政部门取得的、列入《政府收支分类科目》一般公共预算2</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类“教育支出”的拨款，含教育事业费、基本建设经费和教育费附加。一般公共预算支出</w:t>
      </w:r>
      <w:r>
        <w:rPr>
          <w:color w:val="000000" w:themeColor="text1"/>
          <w14:textFill>
            <w14:solidFill>
              <w14:schemeClr w14:val="tx1"/>
            </w14:solidFill>
          </w14:textFill>
        </w:rPr>
        <w:t>是指国家财政将筹集起来的资金进行分配使用，以满足经济建设和各项事业需要的</w:t>
      </w:r>
      <w:r>
        <w:rPr>
          <w:rFonts w:hint="eastAsia"/>
          <w:color w:val="000000" w:themeColor="text1"/>
          <w14:textFill>
            <w14:solidFill>
              <w14:schemeClr w14:val="tx1"/>
            </w14:solidFill>
          </w14:textFill>
        </w:rPr>
        <w:t>支出</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该指标可反映全国及各地</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对教育事业的投入水平和力度。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比例=本年度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教育经费/本年度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支出*100%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r>
        <w:rPr>
          <w:rFonts w:hint="eastAsia"/>
          <w:color w:val="000000" w:themeColor="text1"/>
          <w14:textFill>
            <w14:solidFill>
              <w14:schemeClr w14:val="tx1"/>
            </w14:solidFill>
          </w14:textFill>
        </w:rPr>
        <w:t>、中国统计年鉴</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教育经费是通过政府财政预算后直接拨付的款项，</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教育经费占</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比例高，表明政府对教育投入的重视程度高。</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该指标主要体现政府部门对教育投入的重视程度，但不能表明</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充足</w:t>
      </w:r>
      <w:r>
        <w:rPr>
          <w:rFonts w:hint="eastAsia"/>
          <w:color w:val="000000" w:themeColor="text1"/>
          <w14:textFill>
            <w14:solidFill>
              <w14:schemeClr w14:val="tx1"/>
            </w14:solidFill>
          </w14:textFill>
        </w:rPr>
        <w:t>程度</w:t>
      </w:r>
      <w:r>
        <w:rPr>
          <w:color w:val="000000" w:themeColor="text1"/>
          <w14:textFill>
            <w14:solidFill>
              <w14:schemeClr w14:val="tx1"/>
            </w14:solidFill>
          </w14:textFill>
        </w:rPr>
        <w:t>，指标值的高低会受到当地</w:t>
      </w:r>
      <w:r>
        <w:rPr>
          <w:rFonts w:hint="eastAsia"/>
          <w:color w:val="000000" w:themeColor="text1"/>
          <w14:textFill>
            <w14:solidFill>
              <w14:schemeClr w14:val="tx1"/>
            </w14:solidFill>
          </w14:textFill>
        </w:rPr>
        <w:t>一般公共预算支出</w:t>
      </w:r>
      <w:r>
        <w:rPr>
          <w:color w:val="000000" w:themeColor="text1"/>
          <w14:textFill>
            <w14:solidFill>
              <w14:schemeClr w14:val="tx1"/>
            </w14:solidFill>
          </w14:textFill>
        </w:rPr>
        <w:t>能力的影响。</w:t>
      </w:r>
    </w:p>
    <w:p>
      <w:pPr>
        <w:pStyle w:val="3"/>
        <w:rPr>
          <w:color w:val="000000" w:themeColor="text1"/>
          <w14:textFill>
            <w14:solidFill>
              <w14:schemeClr w14:val="tx1"/>
            </w14:solidFill>
          </w14:textFill>
        </w:rPr>
      </w:pPr>
      <w:bookmarkStart w:id="240" w:name="_Toc398192968"/>
      <w:bookmarkStart w:id="241" w:name="_Toc59961215"/>
      <w:r>
        <w:rPr>
          <w:color w:val="000000" w:themeColor="text1"/>
          <w14:textFill>
            <w14:solidFill>
              <w14:schemeClr w14:val="tx1"/>
            </w14:solidFill>
          </w14:textFill>
        </w:rPr>
        <w:t xml:space="preserve">106. </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w:t>
      </w:r>
      <w:r>
        <w:rPr>
          <w:rFonts w:hint="eastAsia"/>
          <w:color w:val="000000" w:themeColor="text1"/>
          <w14:textFill>
            <w14:solidFill>
              <w14:schemeClr w14:val="tx1"/>
            </w14:solidFill>
          </w14:textFill>
        </w:rPr>
        <w:t>增长与财政经常性收入增长比较情况（百分点）</w:t>
      </w:r>
      <w:bookmarkEnd w:id="240"/>
      <w:bookmarkEnd w:id="241"/>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一般公共预算教育经费增长与财政经常性收入增长比较情况，</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指本年度一般公共预算教育经费比上年增长比例与财政经常性收入比上年增长比例之间的差值</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w:t>
      </w:r>
      <w:r>
        <w:rPr>
          <w:rFonts w:hint="eastAsia"/>
          <w:color w:val="000000" w:themeColor="text1"/>
          <w14:textFill>
            <w14:solidFill>
              <w14:schemeClr w14:val="tx1"/>
            </w14:solidFill>
          </w14:textFill>
        </w:rPr>
        <w:t>全国及各地一般公共预算教育经费的增长</w:t>
      </w:r>
      <w:r>
        <w:rPr>
          <w:color w:val="000000" w:themeColor="text1"/>
          <w14:textFill>
            <w14:solidFill>
              <w14:schemeClr w14:val="tx1"/>
            </w14:solidFill>
          </w14:textFill>
        </w:rPr>
        <w:t>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一般公共预算教育经费增长与财政经常性收入增长比较情况</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一般公共预算教育经费本年比上年增长比例-财政经常性收入本年比上年增长比例</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中国统计年鉴</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省级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该指标反映国家和地方</w:t>
      </w:r>
      <w:r>
        <w:rPr>
          <w:rFonts w:hint="eastAsia"/>
          <w:color w:val="000000" w:themeColor="text1"/>
          <w14:textFill>
            <w14:solidFill>
              <w14:schemeClr w14:val="tx1"/>
            </w14:solidFill>
          </w14:textFill>
        </w:rPr>
        <w:t>一般公共预算对教育</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相对支持力度，</w:t>
      </w:r>
      <w:r>
        <w:rPr>
          <w:color w:val="000000" w:themeColor="text1"/>
          <w14:textFill>
            <w14:solidFill>
              <w14:schemeClr w14:val="tx1"/>
            </w14:solidFill>
          </w14:textFill>
        </w:rPr>
        <w:t>指标值越大说明国家和地方对教育发展的支持力度越大</w:t>
      </w:r>
      <w:r>
        <w:rPr>
          <w:rFonts w:hint="eastAsia"/>
          <w:color w:val="000000" w:themeColor="text1"/>
          <w14:textFill>
            <w14:solidFill>
              <w14:schemeClr w14:val="tx1"/>
            </w14:solidFill>
          </w14:textFill>
        </w:rPr>
        <w:t>，按照有关规定，原则上该指标值应大于0</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该指标仅反映一般公共预算教育经费增长相对财政经常性收入增长的情况，不能反映各地一般公共预算教育经费的充足程度和利用效度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同时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指标值可能受到各地经济和教育发展水平的影响，对其解释时可</w:t>
      </w:r>
      <w:r>
        <w:rPr>
          <w:color w:val="000000" w:themeColor="text1"/>
          <w14:textFill>
            <w14:solidFill>
              <w14:schemeClr w14:val="tx1"/>
            </w14:solidFill>
          </w14:textFill>
        </w:rPr>
        <w:t>结合各</w:t>
      </w:r>
      <w:r>
        <w:rPr>
          <w:rFonts w:hint="eastAsia"/>
          <w:color w:val="000000" w:themeColor="text1"/>
          <w14:textFill>
            <w14:solidFill>
              <w14:schemeClr w14:val="tx1"/>
            </w14:solidFill>
          </w14:textFill>
        </w:rPr>
        <w:t>地经济和教育发展实际综合考虑</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一般公共预算教育经费增长情况=一般公共预算教育经费本年增长/一般公共预算教育经费上年增长</w:t>
      </w:r>
    </w:p>
    <w:p>
      <w:pPr>
        <w:pStyle w:val="3"/>
        <w:rPr>
          <w:color w:val="000000" w:themeColor="text1"/>
          <w14:textFill>
            <w14:solidFill>
              <w14:schemeClr w14:val="tx1"/>
            </w14:solidFill>
          </w14:textFill>
        </w:rPr>
      </w:pPr>
      <w:bookmarkStart w:id="242" w:name="_Toc398192969"/>
      <w:bookmarkStart w:id="243" w:name="_Toc59961216"/>
      <w:r>
        <w:rPr>
          <w:color w:val="000000" w:themeColor="text1"/>
          <w14:textFill>
            <w14:solidFill>
              <w14:schemeClr w14:val="tx1"/>
            </w14:solidFill>
          </w14:textFill>
        </w:rPr>
        <w:t>107. 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bookmarkEnd w:id="242"/>
      <w:bookmarkEnd w:id="24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教育事业费支出与该级教育在校生总数之比。教育事业费</w:t>
      </w:r>
      <w:r>
        <w:rPr>
          <w:rFonts w:hint="eastAsia"/>
          <w:color w:val="000000" w:themeColor="text1"/>
          <w14:textFill>
            <w14:solidFill>
              <w14:schemeClr w14:val="tx1"/>
            </w14:solidFill>
          </w14:textFill>
        </w:rPr>
        <w:t>支出</w:t>
      </w:r>
      <w:r>
        <w:rPr>
          <w:color w:val="000000" w:themeColor="text1"/>
          <w14:textFill>
            <w14:solidFill>
              <w14:schemeClr w14:val="tx1"/>
            </w14:solidFill>
          </w14:textFill>
        </w:rPr>
        <w:t>分为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个人部分支出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公用部分支出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两部分。个人部分支出包括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工资福利支出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对个人和家庭的补助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两部分：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工资福利支出</w:t>
      </w:r>
      <w:r>
        <w:rPr>
          <w:rFonts w:hint="eastAsia"/>
          <w:color w:val="000000" w:themeColor="text1"/>
          <w14:textFill>
            <w14:solidFill>
              <w14:schemeClr w14:val="tx1"/>
            </w14:solidFill>
          </w14:textFill>
        </w:rPr>
        <w:t>”指学校（单位）开支的在职教职工和编制外长期聘用人员的各类劳动报酬，以及为上述人员缴纳的各项社会保险费等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对个人和家庭的补助</w:t>
      </w:r>
      <w:r>
        <w:rPr>
          <w:rFonts w:hint="eastAsia"/>
          <w:color w:val="000000" w:themeColor="text1"/>
          <w14:textFill>
            <w14:solidFill>
              <w14:schemeClr w14:val="tx1"/>
            </w14:solidFill>
          </w14:textFill>
        </w:rPr>
        <w:t>” 指学校（单位）对个人和家庭的补助支出</w:t>
      </w:r>
      <w:r>
        <w:rPr>
          <w:color w:val="000000" w:themeColor="text1"/>
          <w14:textFill>
            <w14:solidFill>
              <w14:schemeClr w14:val="tx1"/>
            </w14:solidFill>
          </w14:textFill>
        </w:rPr>
        <w:t>。公用部分支出包括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商品和服务支出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资本性支出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两部分：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商品和服务支出</w:t>
      </w:r>
      <w:r>
        <w:rPr>
          <w:rFonts w:hint="eastAsia"/>
          <w:color w:val="000000" w:themeColor="text1"/>
          <w14:textFill>
            <w14:solidFill>
              <w14:schemeClr w14:val="tx1"/>
            </w14:solidFill>
          </w14:textFill>
        </w:rPr>
        <w:t>”指学校（单位）购买商品和服务的支出（不包括用于购置固定资产的支出）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资本性支出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指</w:t>
      </w:r>
      <w:r>
        <w:rPr>
          <w:rFonts w:hint="eastAsia"/>
          <w:color w:val="000000" w:themeColor="text1"/>
          <w14:textFill>
            <w14:solidFill>
              <w14:schemeClr w14:val="tx1"/>
            </w14:solidFill>
          </w14:textFill>
        </w:rPr>
        <w:t>学校（单位）</w:t>
      </w:r>
      <w:r>
        <w:rPr>
          <w:color w:val="000000" w:themeColor="text1"/>
          <w14:textFill>
            <w14:solidFill>
              <w14:schemeClr w14:val="tx1"/>
            </w14:solidFill>
          </w14:textFill>
        </w:rPr>
        <w:t>安排的资本性支出。</w:t>
      </w:r>
      <w:r>
        <w:rPr>
          <w:rFonts w:hint="eastAsia"/>
          <w:color w:val="000000" w:themeColor="text1"/>
          <w14:textFill>
            <w14:solidFill>
              <w14:schemeClr w14:val="tx1"/>
            </w14:solidFill>
          </w14:textFill>
        </w:rPr>
        <w:t>不包含由</w:t>
      </w:r>
      <w:r>
        <w:rPr>
          <w:color w:val="000000" w:themeColor="text1"/>
          <w14:textFill>
            <w14:solidFill>
              <w14:schemeClr w14:val="tx1"/>
            </w14:solidFill>
          </w14:textFill>
        </w:rPr>
        <w:t>发展改革部门安排的基本建设支出。</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该指标反映以学生人数平均的</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教育事业费的充足情况。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、县级（普通高校不适用于县级）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教育事业费是政府部门为各级教育</w:t>
      </w:r>
      <w:r>
        <w:rPr>
          <w:rFonts w:hint="eastAsia"/>
          <w:color w:val="000000" w:themeColor="text1"/>
          <w14:textFill>
            <w14:solidFill>
              <w14:schemeClr w14:val="tx1"/>
            </w14:solidFill>
          </w14:textFill>
        </w:rPr>
        <w:t>机构</w:t>
      </w:r>
      <w:r>
        <w:rPr>
          <w:color w:val="000000" w:themeColor="text1"/>
          <w14:textFill>
            <w14:solidFill>
              <w14:schemeClr w14:val="tx1"/>
            </w14:solidFill>
          </w14:textFill>
        </w:rPr>
        <w:t>的教育活动专门拨付</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财政性资金</w:t>
      </w:r>
      <w:r>
        <w:rPr>
          <w:rFonts w:hint="eastAsia"/>
          <w:color w:val="000000" w:themeColor="text1"/>
          <w14:textFill>
            <w14:solidFill>
              <w14:schemeClr w14:val="tx1"/>
            </w14:solidFill>
          </w14:textFill>
        </w:rPr>
        <w:t>，该指标值</w:t>
      </w:r>
      <w:r>
        <w:rPr>
          <w:color w:val="000000" w:themeColor="text1"/>
          <w14:textFill>
            <w14:solidFill>
              <w14:schemeClr w14:val="tx1"/>
            </w14:solidFill>
          </w14:textFill>
        </w:rPr>
        <w:t>越高，说明教育经费的保障越充足。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我国教育和经济发展存在区域差异，该指标反映各地区生均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教育事业费支出额的大小，比较时应考虑当地的经济发展水平</w:t>
      </w:r>
      <w:r>
        <w:rPr>
          <w:rFonts w:hint="eastAsia"/>
          <w:color w:val="000000" w:themeColor="text1"/>
          <w14:textFill>
            <w14:solidFill>
              <w14:schemeClr w14:val="tx1"/>
            </w14:solidFill>
          </w14:textFill>
        </w:rPr>
        <w:t>和一般公共预算的支付能力</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幼儿园一般公共预算</w:t>
      </w:r>
      <w:r>
        <w:rPr>
          <w:color w:val="000000" w:themeColor="text1"/>
          <w14:textFill>
            <w14:solidFill>
              <w14:schemeClr w14:val="tx1"/>
            </w14:solidFill>
          </w14:textFill>
        </w:rPr>
        <w:t>教育事业费支出/</w:t>
      </w:r>
      <w:r>
        <w:rPr>
          <w:rFonts w:hint="eastAsia"/>
          <w:color w:val="000000" w:themeColor="text1"/>
          <w14:textFill>
            <w14:solidFill>
              <w14:schemeClr w14:val="tx1"/>
            </w14:solidFill>
          </w14:textFill>
        </w:rPr>
        <w:t>幼儿园在园幼儿</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教育事业费支出/普通初中在校生总数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特殊教育学校一般公共预算</w:t>
      </w:r>
      <w:r>
        <w:rPr>
          <w:color w:val="000000" w:themeColor="text1"/>
          <w14:textFill>
            <w14:solidFill>
              <w14:schemeClr w14:val="tx1"/>
            </w14:solidFill>
          </w14:textFill>
        </w:rPr>
        <w:t>教育事业费支出/</w:t>
      </w:r>
      <w:r>
        <w:rPr>
          <w:rFonts w:hint="eastAsia"/>
          <w:color w:val="000000" w:themeColor="text1"/>
          <w14:textFill>
            <w14:solidFill>
              <w14:schemeClr w14:val="tx1"/>
            </w14:solidFill>
          </w14:textFill>
        </w:rPr>
        <w:t>特殊教育学校在校学生</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）中等职业学校生均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教育事业费（元/生）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）普通高校生均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教育事业费支出（元/生）</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教育事业费支出/普通高校在校生总数</w:t>
      </w:r>
    </w:p>
    <w:p>
      <w:pPr>
        <w:pStyle w:val="3"/>
        <w:rPr>
          <w:color w:val="000000" w:themeColor="text1"/>
          <w14:textFill>
            <w14:solidFill>
              <w14:schemeClr w14:val="tx1"/>
            </w14:solidFill>
          </w14:textFill>
        </w:rPr>
      </w:pPr>
      <w:bookmarkStart w:id="244" w:name="_Toc398192970"/>
      <w:bookmarkStart w:id="245" w:name="_Toc59961217"/>
      <w:r>
        <w:rPr>
          <w:color w:val="000000" w:themeColor="text1"/>
          <w14:textFill>
            <w14:solidFill>
              <w14:schemeClr w14:val="tx1"/>
            </w14:solidFill>
          </w14:textFill>
        </w:rPr>
        <w:t>108. 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公用经费（元/生）</w:t>
      </w:r>
      <w:bookmarkEnd w:id="244"/>
      <w:bookmarkEnd w:id="24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该指标反映以学生人数平均的公用经费的充足程度。</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费支出/该级教育在校生总数</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、县级（普通高校不适用于县级）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公用经费越高说明该类经费越充足。</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我国教育和经济发展存在区域差异，该指标反映各地区生均</w:t>
      </w:r>
      <w:r>
        <w:rPr>
          <w:rFonts w:hint="eastAsia"/>
          <w:color w:val="000000" w:themeColor="text1"/>
          <w14:textFill>
            <w14:solidFill>
              <w14:schemeClr w14:val="tx1"/>
            </w14:solidFill>
          </w14:textFill>
        </w:rPr>
        <w:t>一般公共预算公用经费</w:t>
      </w:r>
      <w:r>
        <w:rPr>
          <w:color w:val="000000" w:themeColor="text1"/>
          <w14:textFill>
            <w14:solidFill>
              <w14:schemeClr w14:val="tx1"/>
            </w14:solidFill>
          </w14:textFill>
        </w:rPr>
        <w:t>支出额的大小，比较时应考虑当地的经济发展水平</w:t>
      </w:r>
      <w:r>
        <w:rPr>
          <w:rFonts w:hint="eastAsia"/>
          <w:color w:val="000000" w:themeColor="text1"/>
          <w14:textFill>
            <w14:solidFill>
              <w14:schemeClr w14:val="tx1"/>
            </w14:solidFill>
          </w14:textFill>
        </w:rPr>
        <w:t>和一般公共预算的支付能力</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一般公共预算公用经</w:t>
      </w:r>
      <w:r>
        <w:rPr>
          <w:color w:val="000000" w:themeColor="text1"/>
          <w14:textFill>
            <w14:solidFill>
              <w14:schemeClr w14:val="tx1"/>
            </w14:solidFill>
          </w14:textFill>
        </w:rPr>
        <w:t>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幼儿园一般公共预算公用经</w:t>
      </w:r>
      <w:r>
        <w:rPr>
          <w:color w:val="000000" w:themeColor="text1"/>
          <w14:textFill>
            <w14:solidFill>
              <w14:schemeClr w14:val="tx1"/>
            </w14:solidFill>
          </w14:textFill>
        </w:rPr>
        <w:t>费支出/</w:t>
      </w:r>
      <w:r>
        <w:rPr>
          <w:rFonts w:hint="eastAsia"/>
          <w:color w:val="000000" w:themeColor="text1"/>
          <w14:textFill>
            <w14:solidFill>
              <w14:schemeClr w14:val="tx1"/>
            </w14:solidFill>
          </w14:textFill>
        </w:rPr>
        <w:t>幼儿园在园幼儿</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公用经费（元/生）</w:t>
      </w:r>
    </w:p>
    <w:p>
      <w:pPr>
        <w:rPr>
          <w:color w:val="000000" w:themeColor="text1"/>
          <w14:textFill>
            <w14:solidFill>
              <w14:schemeClr w14:val="tx1"/>
            </w14:solidFill>
          </w14:textFill>
        </w:rPr>
      </w:pPr>
      <w:r>
        <w:rPr>
          <w:color w:val="000000" w:themeColor="text1"/>
          <w14:textFill>
            <w14:solidFill>
              <w14:schemeClr w14:val="tx1"/>
            </w14:solidFill>
          </w14:textFill>
        </w:rPr>
        <w:t>=小学</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小学在校生总数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=初中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费支出/普通初中在校生总数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=普通高中</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费支出/普通高中在校生总数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特殊教育学校生</w:t>
      </w:r>
      <w:r>
        <w:rPr>
          <w:color w:val="000000" w:themeColor="text1"/>
          <w14:textFill>
            <w14:solidFill>
              <w14:schemeClr w14:val="tx1"/>
            </w14:solidFill>
          </w14:textFill>
        </w:rPr>
        <w:t>均</w:t>
      </w:r>
      <w:r>
        <w:rPr>
          <w:rFonts w:hint="eastAsia"/>
          <w:color w:val="000000" w:themeColor="text1"/>
          <w14:textFill>
            <w14:solidFill>
              <w14:schemeClr w14:val="tx1"/>
            </w14:solidFill>
          </w14:textFill>
        </w:rPr>
        <w:t>一般公共预算公用经</w:t>
      </w:r>
      <w:r>
        <w:rPr>
          <w:color w:val="000000" w:themeColor="text1"/>
          <w14:textFill>
            <w14:solidFill>
              <w14:schemeClr w14:val="tx1"/>
            </w14:solidFill>
          </w14:textFill>
        </w:rPr>
        <w:t>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特殊教育学校一般公共预算公用经</w:t>
      </w:r>
      <w:r>
        <w:rPr>
          <w:color w:val="000000" w:themeColor="text1"/>
          <w14:textFill>
            <w14:solidFill>
              <w14:schemeClr w14:val="tx1"/>
            </w14:solidFill>
          </w14:textFill>
        </w:rPr>
        <w:t>费支出/</w:t>
      </w:r>
      <w:r>
        <w:rPr>
          <w:rFonts w:hint="eastAsia"/>
          <w:color w:val="000000" w:themeColor="text1"/>
          <w14:textFill>
            <w14:solidFill>
              <w14:schemeClr w14:val="tx1"/>
            </w14:solidFill>
          </w14:textFill>
        </w:rPr>
        <w:t>特殊教育学校在校学生</w:t>
      </w:r>
      <w:r>
        <w:rPr>
          <w:color w:val="000000" w:themeColor="text1"/>
          <w14:textFill>
            <w14:solidFill>
              <w14:schemeClr w14:val="tx1"/>
            </w14:solidFill>
          </w14:textFill>
        </w:rPr>
        <w:t>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）中等职业学校生均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教育公用</w:t>
      </w:r>
      <w:r>
        <w:rPr>
          <w:rFonts w:hint="eastAsia"/>
          <w:color w:val="000000" w:themeColor="text1"/>
          <w14:textFill>
            <w14:solidFill>
              <w14:schemeClr w14:val="tx1"/>
            </w14:solidFill>
          </w14:textFill>
        </w:rPr>
        <w:t>经</w:t>
      </w:r>
      <w:r>
        <w:rPr>
          <w:color w:val="000000" w:themeColor="text1"/>
          <w14:textFill>
            <w14:solidFill>
              <w14:schemeClr w14:val="tx1"/>
            </w14:solidFill>
          </w14:textFill>
        </w:rPr>
        <w:t>费支出/中等职业学校在校生总数</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）普通高校生均</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公用经费支出（元/生）</w:t>
      </w:r>
    </w:p>
    <w:p>
      <w:pPr>
        <w:rPr>
          <w:color w:val="000000" w:themeColor="text1"/>
          <w14:textFill>
            <w14:solidFill>
              <w14:schemeClr w14:val="tx1"/>
            </w14:solidFill>
          </w14:textFill>
        </w:rPr>
      </w:pP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公用经费支出/普通高校在校生总数</w:t>
      </w:r>
    </w:p>
    <w:p>
      <w:pPr>
        <w:pStyle w:val="3"/>
        <w:rPr>
          <w:color w:val="000000" w:themeColor="text1"/>
          <w14:textFill>
            <w14:solidFill>
              <w14:schemeClr w14:val="tx1"/>
            </w14:solidFill>
          </w14:textFill>
        </w:rPr>
      </w:pPr>
      <w:bookmarkStart w:id="246" w:name="_Toc398192971"/>
      <w:bookmarkStart w:id="247" w:name="_Toc59961218"/>
      <w:r>
        <w:rPr>
          <w:color w:val="000000" w:themeColor="text1"/>
          <w14:textFill>
            <w14:solidFill>
              <w14:schemeClr w14:val="tx1"/>
            </w14:solidFill>
          </w14:textFill>
        </w:rPr>
        <w:t>109. 生均教育经费指数</w:t>
      </w:r>
      <w:r>
        <w:rPr>
          <w:rFonts w:hint="eastAsia"/>
          <w:color w:val="000000" w:themeColor="text1"/>
          <w14:textFill>
            <w14:solidFill>
              <w14:schemeClr w14:val="tx1"/>
            </w14:solidFill>
          </w14:textFill>
        </w:rPr>
        <w:t>（%）</w:t>
      </w:r>
      <w:bookmarkEnd w:id="246"/>
      <w:bookmarkEnd w:id="24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生均教育经费指数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是指各级教育生均教育经费支出</w:t>
      </w:r>
      <w:r>
        <w:rPr>
          <w:rFonts w:hint="eastAsia"/>
          <w:color w:val="000000" w:themeColor="text1"/>
          <w14:textFill>
            <w14:solidFill>
              <w14:schemeClr w14:val="tx1"/>
            </w14:solidFill>
          </w14:textFill>
        </w:rPr>
        <w:t>占</w:t>
      </w:r>
      <w:r>
        <w:rPr>
          <w:color w:val="000000" w:themeColor="text1"/>
          <w14:textFill>
            <w14:solidFill>
              <w14:schemeClr w14:val="tx1"/>
            </w14:solidFill>
          </w14:textFill>
        </w:rPr>
        <w:t>人均GDP</w:t>
      </w:r>
      <w:r>
        <w:rPr>
          <w:rFonts w:hint="eastAsia"/>
          <w:color w:val="000000" w:themeColor="text1"/>
          <w14:textFill>
            <w14:solidFill>
              <w14:schemeClr w14:val="tx1"/>
            </w14:solidFill>
          </w14:textFill>
        </w:rPr>
        <w:t>的百分比</w:t>
      </w:r>
      <w:r>
        <w:rPr>
          <w:color w:val="000000" w:themeColor="text1"/>
          <w14:textFill>
            <w14:solidFill>
              <w14:schemeClr w14:val="tx1"/>
            </w14:solidFill>
          </w14:textFill>
        </w:rPr>
        <w:t>。生均教育经费支出可按</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教育经费或教育经费总支出分别计算，即某一级教育</w:t>
      </w:r>
      <w:r>
        <w:rPr>
          <w:rFonts w:hint="eastAsia"/>
          <w:color w:val="000000" w:themeColor="text1"/>
          <w14:textFill>
            <w14:solidFill>
              <w14:schemeClr w14:val="tx1"/>
            </w14:solidFill>
          </w14:textFill>
        </w:rPr>
        <w:t>一般公共预算</w:t>
      </w:r>
      <w:r>
        <w:rPr>
          <w:color w:val="000000" w:themeColor="text1"/>
          <w14:textFill>
            <w14:solidFill>
              <w14:schemeClr w14:val="tx1"/>
            </w14:solidFill>
          </w14:textFill>
        </w:rPr>
        <w:t>教育经费或教育经费总支出与该级教育在校生总数之比。</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该指标可监测和评价相对于国家经济发展水平投入于各级教育的经费情况。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生均教育经费指数=某一级生均教育经费支出/人均GDP</w:t>
      </w:r>
      <w:r>
        <w:rPr>
          <w:rFonts w:hint="eastAsia"/>
          <w:color w:val="000000" w:themeColor="text1"/>
          <w14:textFill>
            <w14:solidFill>
              <w14:schemeClr w14:val="tx1"/>
            </w14:solidFill>
          </w14:textFill>
        </w:rPr>
        <w:t>*100%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r>
        <w:rPr>
          <w:rFonts w:hint="eastAsia"/>
          <w:color w:val="000000" w:themeColor="text1"/>
          <w14:textFill>
            <w14:solidFill>
              <w14:schemeClr w14:val="tx1"/>
            </w14:solidFill>
          </w14:textFill>
        </w:rPr>
        <w:t>、国家统计局国民经济核算</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指标分解：</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学段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该指标反映相对于国家</w:t>
      </w:r>
      <w:r>
        <w:rPr>
          <w:rFonts w:hint="eastAsia"/>
          <w:color w:val="000000" w:themeColor="text1"/>
          <w14:textFill>
            <w14:solidFill>
              <w14:schemeClr w14:val="tx1"/>
            </w14:solidFill>
          </w14:textFill>
        </w:rPr>
        <w:t>、社会和公民</w:t>
      </w:r>
      <w:r>
        <w:rPr>
          <w:color w:val="000000" w:themeColor="text1"/>
          <w14:textFill>
            <w14:solidFill>
              <w14:schemeClr w14:val="tx1"/>
            </w14:solidFill>
          </w14:textFill>
        </w:rPr>
        <w:t>的支付能力投入于各级教育的资源，指标值越大说明国家和</w:t>
      </w:r>
      <w:r>
        <w:rPr>
          <w:rFonts w:hint="eastAsia"/>
          <w:color w:val="000000" w:themeColor="text1"/>
          <w14:textFill>
            <w14:solidFill>
              <w14:schemeClr w14:val="tx1"/>
            </w14:solidFill>
          </w14:textFill>
        </w:rPr>
        <w:t>社会</w:t>
      </w:r>
      <w:r>
        <w:rPr>
          <w:color w:val="000000" w:themeColor="text1"/>
          <w14:textFill>
            <w14:solidFill>
              <w14:schemeClr w14:val="tx1"/>
            </w14:solidFill>
          </w14:textFill>
        </w:rPr>
        <w:t>对于各级教育发展的支持力度越大。另外，对该指标值的解释应结合各级教育入学率情况。</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该指标主要反映了相对于国家、社会和公民财富投入于各级教育的资源情况，不能说明这种分配是否为适应和推动教育发展需要的最优选择</w:t>
      </w:r>
      <w:r>
        <w:rPr>
          <w:color w:val="000000" w:themeColor="text1"/>
          <w14:textFill>
            <w14:solidFill>
              <w14:schemeClr w14:val="tx1"/>
            </w14:solidFill>
          </w14:textFill>
        </w:rPr>
        <w:t>。</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幼儿园</w:t>
      </w:r>
      <w:r>
        <w:rPr>
          <w:color w:val="000000" w:themeColor="text1"/>
          <w14:textFill>
            <w14:solidFill>
              <w14:schemeClr w14:val="tx1"/>
            </w14:solidFill>
          </w14:textFill>
        </w:rPr>
        <w:t>生均教育经费支出/人均GDP</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）小学生均教育经费指数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=小学生均教育经费支出/人均GDP</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）初中生均教育经费指数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=初中生均教育经费支出/人均GDP*100%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）普通高中生均教育经费指数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=普通高中生均教育经费支出/人均GDP*100%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w:t>
      </w:r>
      <w:r>
        <w:rPr>
          <w:color w:val="000000" w:themeColor="text1"/>
          <w14:textFill>
            <w14:solidFill>
              <w14:schemeClr w14:val="tx1"/>
            </w14:solidFill>
          </w14:textFill>
        </w:rPr>
        <w:t>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特殊教育学校</w:t>
      </w:r>
      <w:r>
        <w:rPr>
          <w:color w:val="000000" w:themeColor="text1"/>
          <w14:textFill>
            <w14:solidFill>
              <w14:schemeClr w14:val="tx1"/>
            </w14:solidFill>
          </w14:textFill>
        </w:rPr>
        <w:t>生均教育经费支出/人均GDP</w:t>
      </w:r>
      <w:r>
        <w:rPr>
          <w:rFonts w:hint="eastAsia"/>
          <w:color w:val="000000" w:themeColor="text1"/>
          <w14:textFill>
            <w14:solidFill>
              <w14:schemeClr w14:val="tx1"/>
            </w14:solidFill>
          </w14:textFill>
        </w:rPr>
        <w:t>*100%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）中等职业学校生均教育经费指数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=中等职业学校生均教育经费支出/人均GDP*100%</w:t>
      </w:r>
    </w:p>
    <w:p>
      <w:pPr>
        <w:pStyle w:val="6"/>
        <w:ind w:firstLine="482"/>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）普通高校生均教育经费指数</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t>=普通高校生均教育经费支出/人均GDP*100%</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（8）生均一般公共预算教育经费（元/生）</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某一级教育一般公共预算</w:t>
      </w:r>
      <w:r>
        <w:rPr>
          <w:color w:val="000000" w:themeColor="text1"/>
          <w14:textFill>
            <w14:solidFill>
              <w14:schemeClr w14:val="tx1"/>
            </w14:solidFill>
          </w14:textFill>
        </w:rPr>
        <w:t>教育经费</w:t>
      </w:r>
      <w:r>
        <w:rPr>
          <w:rFonts w:hint="eastAsia"/>
          <w:color w:val="000000" w:themeColor="text1"/>
          <w14:textFill>
            <w14:solidFill>
              <w14:schemeClr w14:val="tx1"/>
            </w14:solidFill>
          </w14:textFill>
        </w:rPr>
        <w:t>总额/</w:t>
      </w:r>
      <w:r>
        <w:rPr>
          <w:color w:val="000000" w:themeColor="text1"/>
          <w14:textFill>
            <w14:solidFill>
              <w14:schemeClr w14:val="tx1"/>
            </w14:solidFill>
          </w14:textFill>
        </w:rPr>
        <w:t>该级教育在校生总数</w:t>
      </w:r>
    </w:p>
    <w:p>
      <w:pPr>
        <w:pStyle w:val="3"/>
        <w:rPr>
          <w:color w:val="000000" w:themeColor="text1"/>
          <w14:textFill>
            <w14:solidFill>
              <w14:schemeClr w14:val="tx1"/>
            </w14:solidFill>
          </w14:textFill>
        </w:rPr>
      </w:pPr>
      <w:bookmarkStart w:id="248" w:name="_Toc398192972"/>
      <w:bookmarkStart w:id="249" w:name="_Toc59961219"/>
      <w:r>
        <w:rPr>
          <w:color w:val="000000" w:themeColor="text1"/>
          <w14:textFill>
            <w14:solidFill>
              <w14:schemeClr w14:val="tx1"/>
            </w14:solidFill>
          </w14:textFill>
        </w:rPr>
        <w:t>110. 捐赠收入及民办学校中举办者投入占教育总经费的比例（%）</w:t>
      </w:r>
      <w:bookmarkEnd w:id="248"/>
      <w:bookmarkEnd w:id="24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捐赠收入及民办学校中举办者投入占教育总经费的比例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是指捐赠收入</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民办学校中举办者投入</w:t>
      </w:r>
      <w:r>
        <w:rPr>
          <w:rFonts w:hint="eastAsia"/>
          <w:color w:val="000000" w:themeColor="text1"/>
          <w14:textFill>
            <w14:solidFill>
              <w14:schemeClr w14:val="tx1"/>
            </w14:solidFill>
          </w14:textFill>
        </w:rPr>
        <w:t>经费数占</w:t>
      </w:r>
      <w:r>
        <w:rPr>
          <w:color w:val="000000" w:themeColor="text1"/>
          <w14:textFill>
            <w14:solidFill>
              <w14:schemeClr w14:val="tx1"/>
            </w14:solidFill>
          </w14:textFill>
        </w:rPr>
        <w:t>教育总经费</w:t>
      </w:r>
      <w:r>
        <w:rPr>
          <w:rFonts w:hint="eastAsia"/>
          <w:color w:val="000000" w:themeColor="text1"/>
          <w14:textFill>
            <w14:solidFill>
              <w14:schemeClr w14:val="tx1"/>
            </w14:solidFill>
          </w14:textFill>
        </w:rPr>
        <w:t>的百分比</w:t>
      </w:r>
      <w:r>
        <w:rPr>
          <w:color w:val="000000" w:themeColor="text1"/>
          <w14:textFill>
            <w14:solidFill>
              <w14:schemeClr w14:val="tx1"/>
            </w14:solidFill>
          </w14:textFill>
        </w:rPr>
        <w:t>。捐赠收入是指境内外社会各界及个人对教育的资助和捐赠；民办学校中举办者投入是指</w:t>
      </w:r>
      <w:r>
        <w:rPr>
          <w:rFonts w:hint="eastAsia"/>
          <w:color w:val="000000" w:themeColor="text1"/>
          <w14:textFill>
            <w14:solidFill>
              <w14:schemeClr w14:val="tx1"/>
            </w14:solidFill>
          </w14:textFill>
        </w:rPr>
        <w:t>民办</w:t>
      </w:r>
      <w:r>
        <w:rPr>
          <w:color w:val="000000" w:themeColor="text1"/>
          <w14:textFill>
            <w14:solidFill>
              <w14:schemeClr w14:val="tx1"/>
            </w14:solidFill>
          </w14:textFill>
        </w:rPr>
        <w:t>学校</w:t>
      </w:r>
      <w:r>
        <w:rPr>
          <w:rFonts w:hint="eastAsia"/>
          <w:color w:val="000000" w:themeColor="text1"/>
          <w14:textFill>
            <w14:solidFill>
              <w14:schemeClr w14:val="tx1"/>
            </w14:solidFill>
          </w14:textFill>
        </w:rPr>
        <w:t>举办者</w:t>
      </w:r>
      <w:r>
        <w:rPr>
          <w:color w:val="000000" w:themeColor="text1"/>
          <w14:textFill>
            <w14:solidFill>
              <w14:schemeClr w14:val="tx1"/>
            </w14:solidFill>
          </w14:textFill>
        </w:rPr>
        <w:t>投入给民办学校的办学经费。</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该指标可监测和评价全国及各地社会力量</w:t>
      </w:r>
      <w:r>
        <w:rPr>
          <w:rFonts w:hint="eastAsia"/>
          <w:color w:val="000000" w:themeColor="text1"/>
          <w14:textFill>
            <w14:solidFill>
              <w14:schemeClr w14:val="tx1"/>
            </w14:solidFill>
          </w14:textFill>
        </w:rPr>
        <w:t>对</w:t>
      </w:r>
      <w:r>
        <w:rPr>
          <w:color w:val="000000" w:themeColor="text1"/>
          <w14:textFill>
            <w14:solidFill>
              <w14:schemeClr w14:val="tx1"/>
            </w14:solidFill>
          </w14:textFill>
        </w:rPr>
        <w:t>教育经费投入的规模情况。</w:t>
      </w:r>
      <w:r>
        <w:rPr>
          <w:rStyle w:val="36"/>
          <w:color w:val="000000" w:themeColor="text1"/>
          <w14:textFill>
            <w14:solidFill>
              <w14:schemeClr w14:val="tx1"/>
            </w14:solidFill>
          </w14:textFill>
        </w:rPr>
        <w:footnoteReference w:id="10"/>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公式：</w:t>
      </w:r>
      <w:r>
        <w:rPr>
          <w:color w:val="000000" w:themeColor="text1"/>
          <w14:textFill>
            <w14:solidFill>
              <w14:schemeClr w14:val="tx1"/>
            </w14:solidFill>
          </w14:textFill>
        </w:rPr>
        <w:t>捐赠收入及民办学校中举办者投入占教育总经费的比例=（捐赠收入+民办学校中举办者投入）/教育总经费*100%</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color w:val="000000" w:themeColor="text1"/>
          <w14:textFill>
            <w14:solidFill>
              <w14:schemeClr w14:val="tx1"/>
            </w14:solidFill>
          </w14:textFill>
        </w:rPr>
        <w:t>国家级、省级</w:t>
      </w:r>
      <w:r>
        <w:rPr>
          <w:rFonts w:hint="eastAsia"/>
          <w:color w:val="000000" w:themeColor="text1"/>
          <w14:textFill>
            <w14:solidFill>
              <w14:schemeClr w14:val="tx1"/>
            </w14:solidFill>
          </w14:textFill>
        </w:rPr>
        <w:t>、县级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该指标值高</w:t>
      </w:r>
      <w:r>
        <w:rPr>
          <w:rFonts w:hint="eastAsia"/>
          <w:color w:val="000000" w:themeColor="text1"/>
          <w14:textFill>
            <w14:solidFill>
              <w14:schemeClr w14:val="tx1"/>
            </w14:solidFill>
          </w14:textFill>
        </w:rPr>
        <w:t>体现</w:t>
      </w:r>
      <w:r>
        <w:rPr>
          <w:color w:val="000000" w:themeColor="text1"/>
          <w14:textFill>
            <w14:solidFill>
              <w14:schemeClr w14:val="tx1"/>
            </w14:solidFill>
          </w14:textFill>
        </w:rPr>
        <w:t>社会力量参与教育投入的积极性高。</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社会力量办学不仅仅体现在资金方面，教师志愿者、社会志愿者等无偿支持教育发展的行为也属于社会力量办学的范畴。该指标仅能反映捐赠收入及民办学校中举办者投入占教育总经费的比例，属于社会力量办学的一个部分。</w:t>
      </w:r>
    </w:p>
    <w:p>
      <w:pPr>
        <w:pStyle w:val="3"/>
        <w:rPr>
          <w:color w:val="000000" w:themeColor="text1"/>
          <w14:textFill>
            <w14:solidFill>
              <w14:schemeClr w14:val="tx1"/>
            </w14:solidFill>
          </w14:textFill>
        </w:rPr>
      </w:pPr>
      <w:bookmarkStart w:id="250" w:name="_Toc59961220"/>
      <w:bookmarkStart w:id="251" w:name="_Toc54862061"/>
      <w:r>
        <w:rPr>
          <w:color w:val="000000" w:themeColor="text1"/>
          <w14:textFill>
            <w14:solidFill>
              <w14:schemeClr w14:val="tx1"/>
            </w14:solidFill>
          </w14:textFill>
        </w:rPr>
        <w:t xml:space="preserve">111. </w:t>
      </w:r>
      <w:r>
        <w:rPr>
          <w:rFonts w:hint="eastAsia"/>
          <w:color w:val="000000" w:themeColor="text1"/>
          <w14:textFill>
            <w14:solidFill>
              <w14:schemeClr w14:val="tx1"/>
            </w14:solidFill>
          </w14:textFill>
        </w:rPr>
        <w:t>普通高校获得的社会捐赠金额（万元）</w:t>
      </w:r>
      <w:bookmarkEnd w:id="250"/>
      <w:bookmarkEnd w:id="251"/>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普通高校社会捐赠金额，是指本年实际收到的境内外社会各界及个人对教育的资助和捐赠。包括现金捐赠、实物捐赠、无形资产捐赠。</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ascii="黑体" w:hAnsi="黑体"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该指标体现了高校的社会认可度、美誉度。</w:t>
      </w:r>
    </w:p>
    <w:p>
      <w:pPr>
        <w:ind w:firstLine="482"/>
        <w:rPr>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教育经费统计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一般而言，社会捐赠数额越高，说明该高校发展水平越高、发展潜力越大。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该指标具有一定的变动性，且各省份之间、各高校之间不具有可比性。</w:t>
      </w:r>
    </w:p>
    <w:p>
      <w:pPr>
        <w:pStyle w:val="2"/>
        <w:rPr>
          <w:color w:val="000000" w:themeColor="text1"/>
          <w14:textFill>
            <w14:solidFill>
              <w14:schemeClr w14:val="tx1"/>
            </w14:solidFill>
          </w14:textFill>
        </w:rPr>
      </w:pPr>
      <w:bookmarkStart w:id="252" w:name="_Toc59961221"/>
      <w:r>
        <w:rPr>
          <w:rFonts w:hint="eastAsia"/>
          <w:color w:val="000000" w:themeColor="text1"/>
          <w14:textFill>
            <w14:solidFill>
              <w14:schemeClr w14:val="tx1"/>
            </w14:solidFill>
          </w14:textFill>
        </w:rPr>
        <w:t>五、科学研究</w:t>
      </w:r>
      <w:bookmarkEnd w:id="252"/>
    </w:p>
    <w:p>
      <w:pPr>
        <w:pStyle w:val="3"/>
        <w:rPr>
          <w:color w:val="000000" w:themeColor="text1"/>
          <w14:textFill>
            <w14:solidFill>
              <w14:schemeClr w14:val="tx1"/>
            </w14:solidFill>
          </w14:textFill>
        </w:rPr>
      </w:pPr>
      <w:bookmarkStart w:id="253" w:name="_Toc59961222"/>
      <w:r>
        <w:rPr>
          <w:color w:val="000000" w:themeColor="text1"/>
          <w14:textFill>
            <w14:solidFill>
              <w14:schemeClr w14:val="tx1"/>
            </w14:solidFill>
          </w14:textFill>
        </w:rPr>
        <w:t xml:space="preserve">112. </w:t>
      </w:r>
      <w:r>
        <w:rPr>
          <w:rFonts w:hint="eastAsia"/>
          <w:color w:val="000000" w:themeColor="text1"/>
          <w14:textFill>
            <w14:solidFill>
              <w14:schemeClr w14:val="tx1"/>
            </w14:solidFill>
          </w14:textFill>
        </w:rPr>
        <w:t>普通高校出版著作数</w:t>
      </w:r>
      <w:r>
        <w:rPr>
          <w:color w:val="000000" w:themeColor="text1"/>
          <w14:textFill>
            <w14:solidFill>
              <w14:schemeClr w14:val="tx1"/>
            </w14:solidFill>
          </w14:textFill>
        </w:rPr>
        <w:t>（部）</w:t>
      </w:r>
      <w:bookmarkEnd w:id="253"/>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普通高校出版</w:t>
      </w:r>
      <w:r>
        <w:rPr>
          <w:rFonts w:hint="eastAsia"/>
          <w:color w:val="000000" w:themeColor="text1"/>
          <w14:textFill>
            <w14:solidFill>
              <w14:schemeClr w14:val="tx1"/>
            </w14:solidFill>
          </w14:textFill>
        </w:rPr>
        <w:t>著作数，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在自然科学与技术领域或人文与社会科学领域出版的著作总数</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该指标反映普通高校自然科学与技术类科研成果</w:t>
      </w:r>
      <w:r>
        <w:rPr>
          <w:rFonts w:hint="eastAsia"/>
          <w:color w:val="000000" w:themeColor="text1"/>
          <w14:textFill>
            <w14:solidFill>
              <w14:schemeClr w14:val="tx1"/>
            </w14:solidFill>
          </w14:textFill>
        </w:rPr>
        <w:t>或</w:t>
      </w:r>
      <w:bookmarkStart w:id="254" w:name="_Hlk21290592"/>
      <w:bookmarkStart w:id="255" w:name="_Hlk20663742"/>
      <w:r>
        <w:rPr>
          <w:rFonts w:hint="eastAsia"/>
          <w:color w:val="000000" w:themeColor="text1"/>
          <w14:textFill>
            <w14:solidFill>
              <w14:schemeClr w14:val="tx1"/>
            </w14:solidFill>
          </w14:textFill>
        </w:rPr>
        <w:t>人文与社会科学</w:t>
      </w:r>
      <w:bookmarkEnd w:id="254"/>
      <w:r>
        <w:rPr>
          <w:rFonts w:hint="eastAsia"/>
          <w:color w:val="000000" w:themeColor="text1"/>
          <w14:textFill>
            <w14:solidFill>
              <w14:schemeClr w14:val="tx1"/>
            </w14:solidFill>
          </w14:textFill>
        </w:rPr>
        <w:t>类</w:t>
      </w:r>
      <w:bookmarkEnd w:id="255"/>
      <w:r>
        <w:rPr>
          <w:rFonts w:hint="eastAsia"/>
          <w:color w:val="000000" w:themeColor="text1"/>
          <w14:textFill>
            <w14:solidFill>
              <w14:schemeClr w14:val="tx1"/>
            </w14:solidFill>
          </w14:textFill>
        </w:rPr>
        <w:t>科研成果数</w:t>
      </w:r>
      <w:r>
        <w:rPr>
          <w:color w:val="000000" w:themeColor="text1"/>
          <w14:textFill>
            <w14:solidFill>
              <w14:schemeClr w14:val="tx1"/>
            </w14:solidFill>
          </w14:textFill>
        </w:rPr>
        <w:t>量</w:t>
      </w:r>
      <w:r>
        <w:rPr>
          <w:rFonts w:hint="eastAsia"/>
          <w:color w:val="000000" w:themeColor="text1"/>
          <w14:textFill>
            <w14:solidFill>
              <w14:schemeClr w14:val="tx1"/>
            </w14:solidFill>
          </w14:textFill>
        </w:rPr>
        <w:t>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科技统计</w:t>
      </w:r>
      <w:r>
        <w:rPr>
          <w:rFonts w:hint="eastAsia"/>
          <w:color w:val="000000" w:themeColor="text1"/>
          <w14:textFill>
            <w14:solidFill>
              <w14:schemeClr w14:val="tx1"/>
            </w14:solidFill>
          </w14:textFill>
        </w:rPr>
        <w:t>、普通高校人文社科统计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分著作类型；分自然科学、人文社科领域</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spacing w:val="-4"/>
          <w14:textFill>
            <w14:solidFill>
              <w14:schemeClr w14:val="tx1"/>
            </w14:solidFill>
          </w14:textFill>
        </w:rPr>
        <w:t>该指标值越大</w:t>
      </w:r>
      <w:r>
        <w:rPr>
          <w:rFonts w:hint="eastAsia"/>
          <w:color w:val="000000" w:themeColor="text1"/>
          <w:spacing w:val="-4"/>
          <w14:textFill>
            <w14:solidFill>
              <w14:schemeClr w14:val="tx1"/>
            </w14:solidFill>
          </w14:textFill>
        </w:rPr>
        <w:t>，</w:t>
      </w:r>
      <w:r>
        <w:rPr>
          <w:color w:val="000000" w:themeColor="text1"/>
          <w:spacing w:val="-4"/>
          <w14:textFill>
            <w14:solidFill>
              <w14:schemeClr w14:val="tx1"/>
            </w14:solidFill>
          </w14:textFill>
        </w:rPr>
        <w:t>说明</w:t>
      </w:r>
      <w:r>
        <w:rPr>
          <w:rFonts w:hint="eastAsia"/>
          <w:color w:val="000000" w:themeColor="text1"/>
          <w:spacing w:val="-4"/>
          <w14:textFill>
            <w14:solidFill>
              <w14:schemeClr w14:val="tx1"/>
            </w14:solidFill>
          </w14:textFill>
        </w:rPr>
        <w:t>普通</w:t>
      </w:r>
      <w:r>
        <w:rPr>
          <w:color w:val="000000" w:themeColor="text1"/>
          <w:spacing w:val="-4"/>
          <w14:textFill>
            <w14:solidFill>
              <w14:schemeClr w14:val="tx1"/>
            </w14:solidFill>
          </w14:textFill>
        </w:rPr>
        <w:t>高校</w:t>
      </w:r>
      <w:r>
        <w:rPr>
          <w:rFonts w:hint="eastAsia"/>
          <w:color w:val="000000" w:themeColor="text1"/>
          <w:spacing w:val="-4"/>
          <w14:textFill>
            <w14:solidFill>
              <w14:schemeClr w14:val="tx1"/>
            </w14:solidFill>
          </w14:textFill>
        </w:rPr>
        <w:t>出版的著作</w:t>
      </w:r>
      <w:r>
        <w:rPr>
          <w:color w:val="000000" w:themeColor="text1"/>
          <w:spacing w:val="-4"/>
          <w14:textFill>
            <w14:solidFill>
              <w14:schemeClr w14:val="tx1"/>
            </w14:solidFill>
          </w14:textFill>
        </w:rPr>
        <w:t>越多</w:t>
      </w:r>
      <w:r>
        <w:rPr>
          <w:rFonts w:hint="eastAsia"/>
          <w:color w:val="000000" w:themeColor="text1"/>
          <w:spacing w:val="-4"/>
          <w14:textFill>
            <w14:solidFill>
              <w14:schemeClr w14:val="tx1"/>
            </w14:solidFill>
          </w14:textFill>
        </w:rPr>
        <w:t>，一定程度上体现高校的科研水平</w:t>
      </w:r>
      <w:r>
        <w:rPr>
          <w:color w:val="000000" w:themeColor="text1"/>
          <w:spacing w:val="-4"/>
          <w14:textFill>
            <w14:solidFill>
              <w14:schemeClr w14:val="tx1"/>
            </w14:solidFill>
          </w14:textFill>
        </w:rPr>
        <w:t>。</w:t>
      </w:r>
    </w:p>
    <w:p>
      <w:pPr>
        <w:ind w:firstLine="482"/>
        <w:rPr>
          <w:color w:val="000000" w:themeColor="text1"/>
          <w:spacing w:val="-4"/>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spacing w:val="-4"/>
          <w14:textFill>
            <w14:solidFill>
              <w14:schemeClr w14:val="tx1"/>
            </w14:solidFill>
          </w14:textFill>
        </w:rPr>
        <w:t>该指标只能反映</w:t>
      </w:r>
      <w:r>
        <w:rPr>
          <w:rFonts w:hint="eastAsia"/>
          <w:color w:val="000000" w:themeColor="text1"/>
          <w:spacing w:val="-4"/>
          <w14:textFill>
            <w14:solidFill>
              <w14:schemeClr w14:val="tx1"/>
            </w14:solidFill>
          </w14:textFill>
        </w:rPr>
        <w:t>普通</w:t>
      </w:r>
      <w:r>
        <w:rPr>
          <w:color w:val="000000" w:themeColor="text1"/>
          <w:spacing w:val="-4"/>
          <w14:textFill>
            <w14:solidFill>
              <w14:schemeClr w14:val="tx1"/>
            </w14:solidFill>
          </w14:textFill>
        </w:rPr>
        <w:t>高校</w:t>
      </w:r>
      <w:r>
        <w:rPr>
          <w:rFonts w:hint="eastAsia"/>
          <w:color w:val="000000" w:themeColor="text1"/>
          <w:spacing w:val="-4"/>
          <w14:textFill>
            <w14:solidFill>
              <w14:schemeClr w14:val="tx1"/>
            </w14:solidFill>
          </w14:textFill>
        </w:rPr>
        <w:t>研究成果的</w:t>
      </w:r>
      <w:r>
        <w:rPr>
          <w:color w:val="000000" w:themeColor="text1"/>
          <w:spacing w:val="-4"/>
          <w14:textFill>
            <w14:solidFill>
              <w14:schemeClr w14:val="tx1"/>
            </w14:solidFill>
          </w14:textFill>
        </w:rPr>
        <w:t>数量，不能反映</w:t>
      </w:r>
      <w:r>
        <w:rPr>
          <w:rFonts w:hint="eastAsia"/>
          <w:color w:val="000000" w:themeColor="text1"/>
          <w:spacing w:val="-4"/>
          <w14:textFill>
            <w14:solidFill>
              <w14:schemeClr w14:val="tx1"/>
            </w14:solidFill>
          </w14:textFill>
        </w:rPr>
        <w:t>其</w:t>
      </w:r>
      <w:r>
        <w:rPr>
          <w:color w:val="000000" w:themeColor="text1"/>
          <w:spacing w:val="-4"/>
          <w14:textFill>
            <w14:solidFill>
              <w14:schemeClr w14:val="tx1"/>
            </w14:solidFill>
          </w14:textFill>
        </w:rPr>
        <w:t>成果的质量信息和社会价值。</w:t>
      </w:r>
    </w:p>
    <w:p>
      <w:pPr>
        <w:pStyle w:val="6"/>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）普通高校出版自然科学与技术著作数（部）</w:t>
      </w:r>
    </w:p>
    <w:p>
      <w:pPr>
        <w:pStyle w:val="6"/>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）普通高校出版自然科学与技术著作数（其中：专著）（部）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（3）普通高校出版自然科学与技术著作数（其中：教材）（部）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（4）普通高校出版人文与社会科学著作数（部）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（5）普通高校出版人文与社会科学著作数（其中：专著）（部）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）普通高校出版人文与社会科学著作数（其中：教材）（部）</w:t>
      </w:r>
    </w:p>
    <w:p>
      <w:pPr>
        <w:ind w:firstLine="482"/>
        <w:rPr>
          <w:b/>
          <w:bCs/>
          <w:color w:val="000000" w:themeColor="text1"/>
          <w:szCs w:val="28"/>
          <w14:textFill>
            <w14:solidFill>
              <w14:schemeClr w14:val="tx1"/>
            </w14:solidFill>
          </w14:textFill>
        </w:rPr>
      </w:pPr>
      <w:r>
        <w:rPr>
          <w:rFonts w:hint="eastAsia"/>
          <w:b/>
          <w:bCs/>
          <w:color w:val="000000" w:themeColor="text1"/>
          <w:szCs w:val="28"/>
          <w14:textFill>
            <w14:solidFill>
              <w14:schemeClr w14:val="tx1"/>
            </w14:solidFill>
          </w14:textFill>
        </w:rPr>
        <w:t>（</w:t>
      </w:r>
      <w:r>
        <w:rPr>
          <w:b/>
          <w:bCs/>
          <w:color w:val="000000" w:themeColor="text1"/>
          <w:szCs w:val="28"/>
          <w14:textFill>
            <w14:solidFill>
              <w14:schemeClr w14:val="tx1"/>
            </w14:solidFill>
          </w14:textFill>
        </w:rPr>
        <w:t>7</w:t>
      </w:r>
      <w:r>
        <w:rPr>
          <w:rFonts w:hint="eastAsia"/>
          <w:b/>
          <w:bCs/>
          <w:color w:val="000000" w:themeColor="text1"/>
          <w:szCs w:val="28"/>
          <w14:textFill>
            <w14:solidFill>
              <w14:schemeClr w14:val="tx1"/>
            </w14:solidFill>
          </w14:textFill>
        </w:rPr>
        <w:t>）普通高校出版国家课程教材数（部）</w:t>
      </w:r>
    </w:p>
    <w:p>
      <w:pPr>
        <w:pStyle w:val="3"/>
        <w:rPr>
          <w:color w:val="000000" w:themeColor="text1"/>
          <w14:textFill>
            <w14:solidFill>
              <w14:schemeClr w14:val="tx1"/>
            </w14:solidFill>
          </w14:textFill>
        </w:rPr>
      </w:pPr>
      <w:bookmarkStart w:id="256" w:name="_Toc59961223"/>
      <w:bookmarkStart w:id="257" w:name="_Toc398192975"/>
      <w:r>
        <w:rPr>
          <w:color w:val="000000" w:themeColor="text1"/>
          <w14:textFill>
            <w14:solidFill>
              <w14:schemeClr w14:val="tx1"/>
            </w14:solidFill>
          </w14:textFill>
        </w:rPr>
        <w:t xml:space="preserve">113. </w:t>
      </w:r>
      <w:r>
        <w:rPr>
          <w:rFonts w:hint="eastAsia"/>
          <w:color w:val="000000" w:themeColor="text1"/>
          <w14:textFill>
            <w14:solidFill>
              <w14:schemeClr w14:val="tx1"/>
            </w14:solidFill>
          </w14:textFill>
        </w:rPr>
        <w:t>普通高校发表论文数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篇</w:t>
      </w:r>
      <w:r>
        <w:rPr>
          <w:color w:val="000000" w:themeColor="text1"/>
          <w14:textFill>
            <w14:solidFill>
              <w14:schemeClr w14:val="tx1"/>
            </w14:solidFill>
          </w14:textFill>
        </w:rPr>
        <w:t>）</w:t>
      </w:r>
      <w:bookmarkEnd w:id="256"/>
      <w:bookmarkEnd w:id="257"/>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发表论文数，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在自然科学与技术领域或人文与社会科学领域发表的论文总数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论文均以第一完成人进行统计，由第一署名者单位进行填报。论文统计范围参照对应领域的统计填报要求。</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color w:val="000000" w:themeColor="text1"/>
          <w14:textFill>
            <w14:solidFill>
              <w14:schemeClr w14:val="tx1"/>
            </w14:solidFill>
          </w14:textFill>
        </w:rPr>
        <w:t>该指标反映普通高校自然科学与技术类科研成果</w:t>
      </w:r>
      <w:r>
        <w:rPr>
          <w:rFonts w:hint="eastAsia"/>
          <w:color w:val="000000" w:themeColor="text1"/>
          <w14:textFill>
            <w14:solidFill>
              <w14:schemeClr w14:val="tx1"/>
            </w14:solidFill>
          </w14:textFill>
        </w:rPr>
        <w:t>数</w:t>
      </w:r>
      <w:r>
        <w:rPr>
          <w:color w:val="000000" w:themeColor="text1"/>
          <w14:textFill>
            <w14:solidFill>
              <w14:schemeClr w14:val="tx1"/>
            </w14:solidFill>
          </w14:textFill>
        </w:rPr>
        <w:t>量</w:t>
      </w:r>
      <w:r>
        <w:rPr>
          <w:rFonts w:hint="eastAsia"/>
          <w:color w:val="000000" w:themeColor="text1"/>
          <w14:textFill>
            <w14:solidFill>
              <w14:schemeClr w14:val="tx1"/>
            </w14:solidFill>
          </w14:textFill>
        </w:rPr>
        <w:t>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科技统计</w:t>
      </w:r>
      <w:r>
        <w:rPr>
          <w:rFonts w:hint="eastAsia"/>
          <w:color w:val="000000" w:themeColor="text1"/>
          <w14:textFill>
            <w14:solidFill>
              <w14:schemeClr w14:val="tx1"/>
            </w14:solidFill>
          </w14:textFill>
        </w:rPr>
        <w:t>、普通高校人文社科统计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发表的</w:t>
      </w:r>
      <w:r>
        <w:rPr>
          <w:color w:val="000000" w:themeColor="text1"/>
          <w14:textFill>
            <w14:solidFill>
              <w14:schemeClr w14:val="tx1"/>
            </w14:solidFill>
          </w14:textFill>
        </w:rPr>
        <w:t>自然科学与技术</w:t>
      </w:r>
      <w:r>
        <w:rPr>
          <w:rFonts w:hint="eastAsia"/>
          <w:color w:val="000000" w:themeColor="text1"/>
          <w14:textFill>
            <w14:solidFill>
              <w14:schemeClr w14:val="tx1"/>
            </w14:solidFill>
          </w14:textFill>
        </w:rPr>
        <w:t>论文或人文与社会科学论文</w:t>
      </w:r>
      <w:r>
        <w:rPr>
          <w:color w:val="000000" w:themeColor="text1"/>
          <w14:textFill>
            <w14:solidFill>
              <w14:schemeClr w14:val="tx1"/>
            </w14:solidFill>
          </w14:textFill>
        </w:rPr>
        <w:t>越多</w:t>
      </w:r>
      <w:r>
        <w:rPr>
          <w:rFonts w:hint="eastAsia"/>
          <w:color w:val="000000" w:themeColor="text1"/>
          <w14:textFill>
            <w14:solidFill>
              <w14:schemeClr w14:val="tx1"/>
            </w14:solidFill>
          </w14:textFill>
        </w:rPr>
        <w:t>，一定程度上体现高校的研究水平</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论文</w:t>
      </w:r>
      <w:r>
        <w:rPr>
          <w:color w:val="000000" w:themeColor="text1"/>
          <w14:textFill>
            <w14:solidFill>
              <w14:schemeClr w14:val="tx1"/>
            </w14:solidFill>
          </w14:textFill>
        </w:rPr>
        <w:t>数量，不能反映</w:t>
      </w:r>
      <w:r>
        <w:rPr>
          <w:rFonts w:hint="eastAsia"/>
          <w:color w:val="000000" w:themeColor="text1"/>
          <w14:textFill>
            <w14:solidFill>
              <w14:schemeClr w14:val="tx1"/>
            </w14:solidFill>
          </w14:textFill>
        </w:rPr>
        <w:t>其</w:t>
      </w:r>
      <w:r>
        <w:rPr>
          <w:color w:val="000000" w:themeColor="text1"/>
          <w14:textFill>
            <w14:solidFill>
              <w14:schemeClr w14:val="tx1"/>
            </w14:solidFill>
          </w14:textFill>
        </w:rPr>
        <w:t>成果的质量信息和社会价值。</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（1）普通高校发表自然科学与技术论文数（篇）</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（2）普通高校发表人文与社会科学论文数（篇）</w:t>
      </w:r>
    </w:p>
    <w:p>
      <w:pPr>
        <w:pStyle w:val="3"/>
        <w:rPr>
          <w:color w:val="000000" w:themeColor="text1"/>
          <w14:textFill>
            <w14:solidFill>
              <w14:schemeClr w14:val="tx1"/>
            </w14:solidFill>
          </w14:textFill>
        </w:rPr>
      </w:pPr>
      <w:bookmarkStart w:id="258" w:name="_Toc398192976"/>
      <w:bookmarkStart w:id="259" w:name="_Toc59961224"/>
      <w:r>
        <w:rPr>
          <w:color w:val="000000" w:themeColor="text1"/>
          <w14:textFill>
            <w14:solidFill>
              <w14:schemeClr w14:val="tx1"/>
            </w14:solidFill>
          </w14:textFill>
        </w:rPr>
        <w:t xml:space="preserve">114. </w:t>
      </w:r>
      <w:r>
        <w:rPr>
          <w:rFonts w:hint="eastAsia"/>
          <w:color w:val="000000" w:themeColor="text1"/>
          <w14:textFill>
            <w14:solidFill>
              <w14:schemeClr w14:val="tx1"/>
            </w14:solidFill>
          </w14:textFill>
        </w:rPr>
        <w:t>普通高校知识产权授权数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件</w:t>
      </w:r>
      <w:r>
        <w:rPr>
          <w:color w:val="000000" w:themeColor="text1"/>
          <w14:textFill>
            <w14:solidFill>
              <w14:schemeClr w14:val="tx1"/>
            </w14:solidFill>
          </w14:textFill>
        </w:rPr>
        <w:t>）</w:t>
      </w:r>
      <w:bookmarkEnd w:id="258"/>
      <w:bookmarkEnd w:id="259"/>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知识产权授权数，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在自然科学与技术领域获得的知识产权授权数量。</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拥有的自然科学与技术的知识产权情况，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w:t>
      </w:r>
      <w:r>
        <w:rPr>
          <w:color w:val="000000" w:themeColor="text1"/>
          <w14:textFill>
            <w14:solidFill>
              <w14:schemeClr w14:val="tx1"/>
            </w14:solidFill>
          </w14:textFill>
        </w:rPr>
        <w:t>科技统计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该指标值越大说明</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获得授权的自然科学与技术知识产权量</w:t>
      </w:r>
      <w:r>
        <w:rPr>
          <w:color w:val="000000" w:themeColor="text1"/>
          <w14:textFill>
            <w14:solidFill>
              <w14:schemeClr w14:val="tx1"/>
            </w14:solidFill>
          </w14:textFill>
        </w:rPr>
        <w:t>越多</w:t>
      </w:r>
      <w:r>
        <w:rPr>
          <w:rFonts w:hint="eastAsia"/>
          <w:color w:val="000000" w:themeColor="text1"/>
          <w14:textFill>
            <w14:solidFill>
              <w14:schemeClr w14:val="tx1"/>
            </w14:solidFill>
          </w14:textFill>
        </w:rPr>
        <w:t>，一定程度上体现高校的自然科学与技术研究水平及知识产权意识</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高校自然科学与技术</w:t>
      </w:r>
      <w:r>
        <w:rPr>
          <w:rFonts w:hint="eastAsia"/>
          <w:color w:val="000000" w:themeColor="text1"/>
          <w14:textFill>
            <w14:solidFill>
              <w14:schemeClr w14:val="tx1"/>
            </w14:solidFill>
          </w14:textFill>
        </w:rPr>
        <w:t>研究的知识产权授权量，</w:t>
      </w:r>
      <w:r>
        <w:rPr>
          <w:color w:val="000000" w:themeColor="text1"/>
          <w14:textFill>
            <w14:solidFill>
              <w14:schemeClr w14:val="tx1"/>
            </w14:solidFill>
          </w14:textFill>
        </w:rPr>
        <w:t>不能</w:t>
      </w:r>
      <w:r>
        <w:rPr>
          <w:rFonts w:hint="eastAsia"/>
          <w:color w:val="000000" w:themeColor="text1"/>
          <w14:textFill>
            <w14:solidFill>
              <w14:schemeClr w14:val="tx1"/>
            </w14:solidFill>
          </w14:textFill>
        </w:rPr>
        <w:t>完全</w:t>
      </w:r>
      <w:r>
        <w:rPr>
          <w:color w:val="000000" w:themeColor="text1"/>
          <w14:textFill>
            <w14:solidFill>
              <w14:schemeClr w14:val="tx1"/>
            </w14:solidFill>
          </w14:textFill>
        </w:rPr>
        <w:t>反映</w:t>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的质量信息和社会价值。</w:t>
      </w:r>
    </w:p>
    <w:p>
      <w:pPr>
        <w:pStyle w:val="3"/>
        <w:rPr>
          <w:color w:val="000000" w:themeColor="text1"/>
          <w14:textFill>
            <w14:solidFill>
              <w14:schemeClr w14:val="tx1"/>
            </w14:solidFill>
          </w14:textFill>
        </w:rPr>
      </w:pPr>
      <w:bookmarkStart w:id="260" w:name="_Toc398192977"/>
      <w:bookmarkStart w:id="261" w:name="_Toc59961225"/>
      <w:r>
        <w:rPr>
          <w:color w:val="000000" w:themeColor="text1"/>
          <w14:textFill>
            <w14:solidFill>
              <w14:schemeClr w14:val="tx1"/>
            </w14:solidFill>
          </w14:textFill>
        </w:rPr>
        <w:t xml:space="preserve">115. </w:t>
      </w:r>
      <w:r>
        <w:rPr>
          <w:rFonts w:hint="eastAsia"/>
          <w:color w:val="000000" w:themeColor="text1"/>
          <w14:textFill>
            <w14:solidFill>
              <w14:schemeClr w14:val="tx1"/>
            </w14:solidFill>
          </w14:textFill>
        </w:rPr>
        <w:t>普通高校获省部级以上奖励的成果数（项）</w:t>
      </w:r>
      <w:bookmarkEnd w:id="260"/>
      <w:bookmarkEnd w:id="261"/>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获省部级以上奖励的成果数，是指普通高校获得的国家最高科学技术奖、国家自然科学奖、国家发明奖、国家科技进步奖、国务院各部门科技进步奖及省、自治区、直辖市科技进步奖的总和或国家社会科学基金项目优秀成果、国务院各部委社会科学优秀成果奖、教育部高等学校科学研究优秀成果奖（人文社会科学）及省、自治区、直辖市哲学社会科学优秀成果奖、各类经认定的基金奖的总和。获奖成果填报要求参照对应领域的统计填报要求。</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该指标反映普通高校在自然科学与技术或人文与社会科学方面获得的国家和省部级奖项情况。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该指标值越大说明普通高校获奖数越多，一定程度反映了高校自然科学与技术以及人文与社会科学研究水平。</w:t>
      </w:r>
    </w:p>
    <w:p>
      <w:pPr>
        <w:ind w:firstLine="482"/>
        <w:rPr>
          <w:color w:val="000000" w:themeColor="text1"/>
          <w:spacing w:val="-4"/>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spacing w:val="-4"/>
          <w14:textFill>
            <w14:solidFill>
              <w14:schemeClr w14:val="tx1"/>
            </w14:solidFill>
          </w14:textFill>
        </w:rPr>
        <w:t>国家和省部级奖励的评选会滞后于成果的发布，无法准确反映高校当前科研状况。</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（1）普通高校获省部级以上奖励的自然科学与技术成果数（项）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=普通高校获国家最高科技奖数+普通高校获国家自然科学奖数+普通高校获国家发明奖数+普通高校获国家科技进步奖数+普通高校获国务院各部门科技进步奖数+普通高校获省、自治区、直辖市科技进步奖数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（2）普通高校获省部级以上奖励的人文与社会科学成果数（项）</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=国家社会科学基金项目优秀成果奖+国务院各部委社会科学优秀成果奖+教育部高等学校科学研究优秀成果奖（人文社会科学）+省、自治区、直辖市哲学社会科学优秀成果奖+各类经认定的基金奖数</w:t>
      </w:r>
    </w:p>
    <w:p>
      <w:pPr>
        <w:pStyle w:val="3"/>
        <w:rPr>
          <w:color w:val="000000" w:themeColor="text1"/>
          <w14:textFill>
            <w14:solidFill>
              <w14:schemeClr w14:val="tx1"/>
            </w14:solidFill>
          </w14:textFill>
        </w:rPr>
      </w:pPr>
      <w:bookmarkStart w:id="262" w:name="_Toc59961226"/>
      <w:bookmarkStart w:id="263" w:name="_Toc398192978"/>
      <w:r>
        <w:rPr>
          <w:color w:val="000000" w:themeColor="text1"/>
          <w14:textFill>
            <w14:solidFill>
              <w14:schemeClr w14:val="tx1"/>
            </w14:solidFill>
          </w14:textFill>
        </w:rPr>
        <w:t xml:space="preserve">116. </w:t>
      </w:r>
      <w:r>
        <w:rPr>
          <w:rFonts w:hint="eastAsia"/>
          <w:color w:val="000000" w:themeColor="text1"/>
          <w14:textFill>
            <w14:solidFill>
              <w14:schemeClr w14:val="tx1"/>
            </w14:solidFill>
          </w14:textFill>
        </w:rPr>
        <w:t>普通高校技术转让收入（万元）</w:t>
      </w:r>
      <w:bookmarkEnd w:id="262"/>
      <w:bookmarkEnd w:id="263"/>
    </w:p>
    <w:p>
      <w:pPr>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普通高校技术转让收入，是指普通高校向国有企业、外资企业、民营企业和其他单位技术转让的实际到账收入总和。</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该指标反映普通高校科技成果的转化情况，可作为教育效益类指标。</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公式：</w:t>
      </w:r>
      <w:r>
        <w:rPr>
          <w:rFonts w:hint="eastAsia"/>
          <w:color w:val="000000" w:themeColor="text1"/>
          <w14:textFill>
            <w14:solidFill>
              <w14:schemeClr w14:val="tx1"/>
            </w14:solidFill>
          </w14:textFill>
        </w:rPr>
        <w:t>普通高校技术转让收入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普通高校向国有企业技术转让收入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普通高校向外资企业技术转让收入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普通高校向民营企业技术转让收入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普通高校向其他单位技术转让收入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分技术转让类型</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该指标值越大说明普通高校通过技术转让获得经济收益越大，一定程度上反映了普通高校科技成果的转化情况。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该指标只能体现高校科技成果通过转让获得的经济收益情况，尚不能反映科技成果整体的经济和社会价值。</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普通高校技术转让收入（其中：专利出售）（万元）</w:t>
      </w:r>
    </w:p>
    <w:p>
      <w:pPr>
        <w:pStyle w:val="3"/>
        <w:rPr>
          <w:color w:val="000000" w:themeColor="text1"/>
          <w14:textFill>
            <w14:solidFill>
              <w14:schemeClr w14:val="tx1"/>
            </w14:solidFill>
          </w14:textFill>
        </w:rPr>
      </w:pPr>
      <w:bookmarkStart w:id="264" w:name="_Toc398192979"/>
      <w:bookmarkStart w:id="265" w:name="_Toc59961227"/>
      <w:r>
        <w:rPr>
          <w:color w:val="000000" w:themeColor="text1"/>
          <w14:textFill>
            <w14:solidFill>
              <w14:schemeClr w14:val="tx1"/>
            </w14:solidFill>
          </w14:textFill>
        </w:rPr>
        <w:t xml:space="preserve">117. </w:t>
      </w:r>
      <w:r>
        <w:rPr>
          <w:rFonts w:hint="eastAsia"/>
          <w:color w:val="000000" w:themeColor="text1"/>
          <w14:textFill>
            <w14:solidFill>
              <w14:schemeClr w14:val="tx1"/>
            </w14:solidFill>
          </w14:textFill>
        </w:rPr>
        <w:t>普通高校R&amp;D折合全时人员数（人年）</w:t>
      </w:r>
      <w:bookmarkEnd w:id="264"/>
      <w:bookmarkEnd w:id="265"/>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R&amp;D折合全时人员数，是指普通高校从事自然科学与技术研究或人文与社会科学研究工作的全时人员与非全时折合全时人员数之和。全时人员及非全时人员的统计范围、折合方式等参照对应领域的统计填报要求。</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该指标反映普通高校在自然科学与技术领域或人文与社会科学领域R&amp;D人力投入情况。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ind w:firstLine="482"/>
        <w:rPr>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该指标值越大说明在普通高校R&amp;D人员数越多，一定程度上反映了普通高校科研投入与发展水平。</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该指标只能体现高校R&amp;D人力投入情况，尚不能反映高校科学研究的质量。</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（1）普通高校自然科学与技术R&amp;D全时人员数（人年）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=基础研究全时人员与非全时折合全时人员数+应用研究全时人员与非全时折合全时人员数+试验发展全时人员与非全时折合全时人员数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（2）普通高校人文与社会科学R&amp;D全时人员数（人年）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=人文与社会科学研究全时人员数+人文与社会科学研究非全时折合全时人员数</w:t>
      </w:r>
    </w:p>
    <w:p>
      <w:pPr>
        <w:pStyle w:val="3"/>
        <w:rPr>
          <w:color w:val="000000" w:themeColor="text1"/>
          <w14:textFill>
            <w14:solidFill>
              <w14:schemeClr w14:val="tx1"/>
            </w14:solidFill>
          </w14:textFill>
        </w:rPr>
      </w:pPr>
      <w:bookmarkStart w:id="266" w:name="_Toc398192980"/>
      <w:bookmarkStart w:id="267" w:name="_Toc59961228"/>
      <w:r>
        <w:rPr>
          <w:color w:val="000000" w:themeColor="text1"/>
          <w14:textFill>
            <w14:solidFill>
              <w14:schemeClr w14:val="tx1"/>
            </w14:solidFill>
          </w14:textFill>
        </w:rPr>
        <w:t xml:space="preserve">118. </w:t>
      </w:r>
      <w:r>
        <w:rPr>
          <w:rFonts w:hint="eastAsia"/>
          <w:color w:val="000000" w:themeColor="text1"/>
          <w14:textFill>
            <w14:solidFill>
              <w14:schemeClr w14:val="tx1"/>
            </w14:solidFill>
          </w14:textFill>
        </w:rPr>
        <w:t>普通高校参与项目（课题）的研究生人数（人）</w:t>
      </w:r>
      <w:bookmarkEnd w:id="266"/>
      <w:bookmarkEnd w:id="267"/>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普通高校参与项目（课题）的研究生人数，是指参与科技项目或人文与社会科学研究课题的研究生人数总和。</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该指标反映普通高校通过科学研究培养研究生情况。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该指标值越大说明高校科研与研究生培养结合越紧密。</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该指标只能体现高校参与科技项目或人文与社会科学R&amp;D课题的研究生人数，尚不能体现研究生在项目（课题）中所起到的作用。</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（1）普通高校参与科技项目研究生人数</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参与研究与发展项目研究生人数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参与研究与发展成果应用项目研究生人数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参与科技服务项目的研究生人数</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（2）普通高校参与人文与社会科学R&amp;D课题研究生人数</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=参与基础研究课题研究生人数+参与应用研究课题研究生人数+参与实验与发展课题研究生人数</w:t>
      </w:r>
    </w:p>
    <w:p>
      <w:pPr>
        <w:pStyle w:val="3"/>
        <w:rPr>
          <w:color w:val="000000" w:themeColor="text1"/>
          <w14:textFill>
            <w14:solidFill>
              <w14:schemeClr w14:val="tx1"/>
            </w14:solidFill>
          </w14:textFill>
        </w:rPr>
      </w:pPr>
      <w:bookmarkStart w:id="268" w:name="_Toc398192981"/>
      <w:bookmarkStart w:id="269" w:name="_Toc59961229"/>
      <w:r>
        <w:rPr>
          <w:color w:val="000000" w:themeColor="text1"/>
          <w14:textFill>
            <w14:solidFill>
              <w14:schemeClr w14:val="tx1"/>
            </w14:solidFill>
          </w14:textFill>
        </w:rPr>
        <w:t xml:space="preserve">119. </w:t>
      </w:r>
      <w:r>
        <w:rPr>
          <w:rFonts w:hint="eastAsia"/>
          <w:color w:val="000000" w:themeColor="text1"/>
          <w14:textFill>
            <w14:solidFill>
              <w14:schemeClr w14:val="tx1"/>
            </w14:solidFill>
          </w14:textFill>
        </w:rPr>
        <w:t>普通高校科技或人文社科经费拨入总额（万元）</w:t>
      </w:r>
      <w:bookmarkEnd w:id="268"/>
      <w:bookmarkEnd w:id="269"/>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定义：</w:t>
      </w:r>
      <w:r>
        <w:rPr>
          <w:rFonts w:hint="eastAsia"/>
          <w:color w:val="000000" w:themeColor="text1"/>
          <w14:textFill>
            <w14:solidFill>
              <w14:schemeClr w14:val="tx1"/>
            </w14:solidFill>
          </w14:textFill>
        </w:rPr>
        <w:t>普通高校科技或人文社科经费拨入总额，包括投入科技研究的科研事业费、主管部门专项费、其他政府部门专项费、企事业单位委托资金、各种收入中转为科技经费和其他资金，或投入人文与社会科学研究的政府项目经费、科技活动人员工资、科研基建费、企事业单位委托项目经费、金融机构贷款、自筹经费、国外资金以及其他收入。</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该指标反映普通高校科技或人文社科研究的经费投入情况。</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普通高校科技统计、普通高校人文社科统计</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指标分解：</w:t>
      </w:r>
      <w:r>
        <w:rPr>
          <w:rFonts w:hint="eastAsia"/>
          <w:color w:val="000000" w:themeColor="text1"/>
          <w14:textFill>
            <w14:solidFill>
              <w14:schemeClr w14:val="tx1"/>
            </w14:solidFill>
          </w14:textFill>
        </w:rPr>
        <w:t>分自然科学、人文社科领域</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国家级、省级、校级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指标释义：</w:t>
      </w:r>
      <w:r>
        <w:rPr>
          <w:rFonts w:hint="eastAsia"/>
          <w:color w:val="000000" w:themeColor="text1"/>
          <w14:textFill>
            <w14:solidFill>
              <w14:schemeClr w14:val="tx1"/>
            </w14:solidFill>
          </w14:textFill>
        </w:rPr>
        <w:t>该指标值越大说明普通高校自然科学与技术研发或人文与社会科学获得的经费支持力度越大。</w:t>
      </w:r>
    </w:p>
    <w:p>
      <w:pPr>
        <w:ind w:firstLine="482"/>
        <w:rPr>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局限性：</w:t>
      </w:r>
      <w:r>
        <w:rPr>
          <w:rFonts w:hint="eastAsia"/>
          <w:color w:val="000000" w:themeColor="text1"/>
          <w14:textFill>
            <w14:solidFill>
              <w14:schemeClr w14:val="tx1"/>
            </w14:solidFill>
          </w14:textFill>
        </w:rPr>
        <w:t>该指标只能反映普通高校获得科技经费或人文社科研究经费的支持力度，并不能直接反映地区或高校的自然科学或人文社科科研实力；高校的科研经费也会受到国家科技扶持政策的影响。</w:t>
      </w:r>
    </w:p>
    <w:p>
      <w:pPr>
        <w:pStyle w:val="6"/>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（1）普通高校科技经费拨入总额（万元）</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科研事业费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主管部门专项费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其他政府部门专项费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企事业单位委托资金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各种收入中转为科技经费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其他资金</w:t>
      </w:r>
    </w:p>
    <w:p>
      <w:pPr>
        <w:pStyle w:val="6"/>
        <w:ind w:firstLine="48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普通高校人文与社会科学研究与发展经费拨入总额</w:t>
      </w:r>
      <w:r>
        <w:rPr>
          <w:rFonts w:hint="eastAsia"/>
          <w:color w:val="000000" w:themeColor="text1"/>
          <w14:textFill>
            <w14:solidFill>
              <w14:schemeClr w14:val="tx1"/>
            </w14:solidFill>
          </w14:textFill>
        </w:rPr>
        <w:t>（万元）</w:t>
      </w:r>
    </w:p>
    <w:p>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科研活动经费（包含各级政府项目经费和其他科研经费）</w:t>
      </w:r>
      <w:r>
        <w:rPr>
          <w:color w:val="000000" w:themeColor="text1"/>
          <w14:textFill>
            <w14:solidFill>
              <w14:schemeClr w14:val="tx1"/>
            </w14:solidFill>
          </w14:textFill>
        </w:rPr>
        <w:t>+科技活动人员工资+科研基建费+企事业单位委托项目经费+金融机构贷款+自筹经费+</w:t>
      </w:r>
      <w:r>
        <w:rPr>
          <w:rFonts w:hint="eastAsia"/>
          <w:color w:val="000000" w:themeColor="text1"/>
          <w14:textFill>
            <w14:solidFill>
              <w14:schemeClr w14:val="tx1"/>
            </w14:solidFill>
          </w14:textFill>
        </w:rPr>
        <w:t>境</w:t>
      </w:r>
      <w:r>
        <w:rPr>
          <w:color w:val="000000" w:themeColor="text1"/>
          <w14:textFill>
            <w14:solidFill>
              <w14:schemeClr w14:val="tx1"/>
            </w14:solidFill>
          </w14:textFill>
        </w:rPr>
        <w:t>外资金+其他收入</w:t>
      </w:r>
    </w:p>
    <w:p>
      <w:pPr>
        <w:pStyle w:val="3"/>
        <w:rPr>
          <w:color w:val="000000" w:themeColor="text1"/>
          <w14:textFill>
            <w14:solidFill>
              <w14:schemeClr w14:val="tx1"/>
            </w14:solidFill>
          </w14:textFill>
        </w:rPr>
      </w:pPr>
      <w:bookmarkStart w:id="270" w:name="_Toc59961230"/>
      <w:bookmarkStart w:id="271" w:name="_Toc398192984"/>
      <w:r>
        <w:rPr>
          <w:color w:val="000000" w:themeColor="text1"/>
          <w14:textFill>
            <w14:solidFill>
              <w14:schemeClr w14:val="tx1"/>
            </w14:solidFill>
          </w14:textFill>
        </w:rPr>
        <w:t xml:space="preserve">120. </w:t>
      </w:r>
      <w:r>
        <w:rPr>
          <w:rFonts w:hint="eastAsia"/>
          <w:color w:val="000000" w:themeColor="text1"/>
          <w14:textFill>
            <w14:solidFill>
              <w14:schemeClr w14:val="tx1"/>
            </w14:solidFill>
          </w14:textFill>
        </w:rPr>
        <w:t>普通高校人文与社会科学研究与咨询报告被采纳数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篇</w:t>
      </w:r>
      <w:r>
        <w:rPr>
          <w:color w:val="000000" w:themeColor="text1"/>
          <w14:textFill>
            <w14:solidFill>
              <w14:schemeClr w14:val="tx1"/>
            </w14:solidFill>
          </w14:textFill>
        </w:rPr>
        <w:t>）</w:t>
      </w:r>
      <w:bookmarkEnd w:id="270"/>
      <w:bookmarkEnd w:id="271"/>
      <w:bookmarkStart w:id="272" w:name="_Toc9848795"/>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定义：</w:t>
      </w:r>
      <w:r>
        <w:rPr>
          <w:color w:val="000000" w:themeColor="text1"/>
          <w14:textFill>
            <w14:solidFill>
              <w14:schemeClr w14:val="tx1"/>
            </w14:solidFill>
          </w14:textFill>
        </w:rPr>
        <w:t>普通高校</w:t>
      </w:r>
      <w:r>
        <w:rPr>
          <w:rFonts w:hint="eastAsia"/>
          <w:color w:val="000000" w:themeColor="text1"/>
          <w14:textFill>
            <w14:solidFill>
              <w14:schemeClr w14:val="tx1"/>
            </w14:solidFill>
          </w14:textFill>
        </w:rPr>
        <w:t>人文与社会科学研究与咨询报告被采纳数，</w:t>
      </w:r>
      <w:r>
        <w:rPr>
          <w:color w:val="000000" w:themeColor="text1"/>
          <w14:textFill>
            <w14:solidFill>
              <w14:schemeClr w14:val="tx1"/>
            </w14:solidFill>
          </w14:textFill>
        </w:rPr>
        <w:t>是指普通高等学校</w:t>
      </w:r>
      <w:r>
        <w:rPr>
          <w:rFonts w:hint="eastAsia"/>
          <w:color w:val="000000" w:themeColor="text1"/>
          <w14:textFill>
            <w14:solidFill>
              <w14:schemeClr w14:val="tx1"/>
            </w14:solidFill>
          </w14:textFill>
        </w:rPr>
        <w:t>在人文与社会科学领域向有关部门和企事业单位提交的研究与咨询报告被采纳的总数。</w:t>
      </w:r>
    </w:p>
    <w:p>
      <w:pPr>
        <w:ind w:firstLine="482"/>
        <w:rPr>
          <w:b/>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用途：</w:t>
      </w:r>
      <w:r>
        <w:rPr>
          <w:rFonts w:hint="eastAsia"/>
          <w:color w:val="000000" w:themeColor="text1"/>
          <w14:textFill>
            <w14:solidFill>
              <w14:schemeClr w14:val="tx1"/>
            </w14:solidFill>
          </w14:textFill>
        </w:rPr>
        <w:t>该指标反映普通高校在人文与社科领域为有关部门和企事业单位提供研究支持的情况，</w:t>
      </w:r>
      <w:r>
        <w:rPr>
          <w:color w:val="000000" w:themeColor="text1"/>
          <w14:textFill>
            <w14:solidFill>
              <w14:schemeClr w14:val="tx1"/>
            </w14:solidFill>
          </w14:textFill>
        </w:rPr>
        <w:t>可作为教育效益类指标。</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数据来源：</w:t>
      </w:r>
      <w:r>
        <w:rPr>
          <w:rFonts w:hint="eastAsia"/>
          <w:color w:val="000000" w:themeColor="text1"/>
          <w14:textFill>
            <w14:solidFill>
              <w14:schemeClr w14:val="tx1"/>
            </w14:solidFill>
          </w14:textFill>
        </w:rPr>
        <w:t>普通高校人文</w:t>
      </w:r>
      <w:r>
        <w:rPr>
          <w:color w:val="000000" w:themeColor="text1"/>
          <w14:textFill>
            <w14:solidFill>
              <w14:schemeClr w14:val="tx1"/>
            </w14:solidFill>
          </w14:textFill>
        </w:rPr>
        <w:t>社科统计</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适用范围：</w:t>
      </w:r>
      <w:r>
        <w:rPr>
          <w:rFonts w:hint="eastAsia"/>
          <w:color w:val="000000" w:themeColor="text1"/>
          <w14:textFill>
            <w14:solidFill>
              <w14:schemeClr w14:val="tx1"/>
            </w14:solidFill>
          </w14:textFill>
        </w:rPr>
        <w:t>国家级</w:t>
      </w:r>
      <w:r>
        <w:rPr>
          <w:color w:val="000000" w:themeColor="text1"/>
          <w14:textFill>
            <w14:solidFill>
              <w14:schemeClr w14:val="tx1"/>
            </w14:solidFill>
          </w14:textFill>
        </w:rPr>
        <w:t>、省</w:t>
      </w:r>
      <w:r>
        <w:rPr>
          <w:rFonts w:hint="eastAsia"/>
          <w:color w:val="000000" w:themeColor="text1"/>
          <w14:textFill>
            <w14:solidFill>
              <w14:schemeClr w14:val="tx1"/>
            </w14:solidFill>
          </w14:textFill>
        </w:rPr>
        <w:t>级</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级</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指标释义：</w:t>
      </w:r>
      <w:r>
        <w:rPr>
          <w:color w:val="000000" w:themeColor="text1"/>
          <w14:textFill>
            <w14:solidFill>
              <w14:schemeClr w14:val="tx1"/>
            </w14:solidFill>
          </w14:textFill>
        </w:rPr>
        <w:t>该指标值越大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说明普通高校</w:t>
      </w:r>
      <w:r>
        <w:rPr>
          <w:rFonts w:hint="eastAsia"/>
          <w:color w:val="000000" w:themeColor="text1"/>
          <w14:textFill>
            <w14:solidFill>
              <w14:schemeClr w14:val="tx1"/>
            </w14:solidFill>
          </w14:textFill>
        </w:rPr>
        <w:t>在人文与社会科学领域被采纳的有关研究与咨询报告的数量</w:t>
      </w:r>
      <w:r>
        <w:rPr>
          <w:color w:val="000000" w:themeColor="text1"/>
          <w14:textFill>
            <w14:solidFill>
              <w14:schemeClr w14:val="tx1"/>
            </w14:solidFill>
          </w14:textFill>
        </w:rPr>
        <w:t>越多</w:t>
      </w:r>
      <w:r>
        <w:rPr>
          <w:rFonts w:hint="eastAsia"/>
          <w:color w:val="000000" w:themeColor="text1"/>
          <w14:textFill>
            <w14:solidFill>
              <w14:schemeClr w14:val="tx1"/>
            </w14:solidFill>
          </w14:textFill>
        </w:rPr>
        <w:t>，反映高校服务社会的能力和水平</w:t>
      </w:r>
      <w:r>
        <w:rPr>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ascii="黑体" w:hAnsi="黑体" w:eastAsia="黑体"/>
          <w:b/>
          <w:color w:val="000000" w:themeColor="text1"/>
          <w14:textFill>
            <w14:solidFill>
              <w14:schemeClr w14:val="tx1"/>
            </w14:solidFill>
          </w14:textFill>
        </w:rPr>
        <w:t>局限性：</w:t>
      </w:r>
      <w:r>
        <w:rPr>
          <w:color w:val="000000" w:themeColor="text1"/>
          <w14:textFill>
            <w14:solidFill>
              <w14:schemeClr w14:val="tx1"/>
            </w14:solidFill>
          </w14:textFill>
        </w:rPr>
        <w:t>该指标只能反映</w:t>
      </w:r>
      <w:r>
        <w:rPr>
          <w:rFonts w:hint="eastAsia"/>
          <w:color w:val="000000" w:themeColor="text1"/>
          <w14:textFill>
            <w14:solidFill>
              <w14:schemeClr w14:val="tx1"/>
            </w14:solidFill>
          </w14:textFill>
        </w:rPr>
        <w:t>普通</w:t>
      </w:r>
      <w:r>
        <w:rPr>
          <w:color w:val="000000" w:themeColor="text1"/>
          <w14:textFill>
            <w14:solidFill>
              <w14:schemeClr w14:val="tx1"/>
            </w14:solidFill>
          </w14:textFill>
        </w:rPr>
        <w:t>高校</w:t>
      </w:r>
      <w:r>
        <w:rPr>
          <w:rFonts w:hint="eastAsia"/>
          <w:color w:val="000000" w:themeColor="text1"/>
          <w14:textFill>
            <w14:solidFill>
              <w14:schemeClr w14:val="tx1"/>
            </w14:solidFill>
          </w14:textFill>
        </w:rPr>
        <w:t>研究与咨询报告被采纳</w:t>
      </w:r>
      <w:r>
        <w:rPr>
          <w:color w:val="000000" w:themeColor="text1"/>
          <w14:textFill>
            <w14:solidFill>
              <w14:schemeClr w14:val="tx1"/>
            </w14:solidFill>
          </w14:textFill>
        </w:rPr>
        <w:t>数量，不能反映</w:t>
      </w:r>
      <w:r>
        <w:rPr>
          <w:rFonts w:hint="eastAsia"/>
          <w:color w:val="000000" w:themeColor="text1"/>
          <w14:textFill>
            <w14:solidFill>
              <w14:schemeClr w14:val="tx1"/>
            </w14:solidFill>
          </w14:textFill>
        </w:rPr>
        <w:t>其</w:t>
      </w:r>
      <w:r>
        <w:rPr>
          <w:color w:val="000000" w:themeColor="text1"/>
          <w14:textFill>
            <w14:solidFill>
              <w14:schemeClr w14:val="tx1"/>
            </w14:solidFill>
          </w14:textFill>
        </w:rPr>
        <w:t>成果的质量信息和社会价值。</w:t>
      </w:r>
      <w:bookmarkEnd w:id="272"/>
    </w:p>
    <w:sectPr>
      <w:footerReference r:id="rId13" w:type="default"/>
      <w:endnotePr>
        <w:numFmt w:val="decimal"/>
      </w:endnotePr>
      <w:pgSz w:w="11906" w:h="16838"/>
      <w:pgMar w:top="1134" w:right="1134" w:bottom="1134" w:left="1134" w:header="851" w:footer="680"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00000000" w:usb1="00000000" w:usb2="00000016" w:usb3="00000000" w:csb0="00100001" w:csb1="00000000"/>
  </w:font>
  <w:font w:name="Garamond">
    <w:panose1 w:val="02020404030301010803"/>
    <w:charset w:val="00"/>
    <w:family w:val="roman"/>
    <w:pitch w:val="default"/>
    <w:sig w:usb0="00000287" w:usb1="00000000" w:usb2="00000000" w:usb3="00000000" w:csb0="0000009F" w:csb1="DFD7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p>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p>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p>
  <w:p>
    <w:pPr>
      <w:pStyle w:val="1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283019"/>
      <w:docPartObj>
        <w:docPartGallery w:val="autotext"/>
      </w:docPartObj>
    </w:sdtPr>
    <w:sdtContent>
      <w:p>
        <w:pPr>
          <w:pStyle w:val="17"/>
          <w:ind w:firstLine="360"/>
          <w:jc w:val="center"/>
        </w:pPr>
      </w:p>
    </w:sdtContent>
  </w:sdt>
  <w:p>
    <w:pPr>
      <w:pStyle w:val="1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879156"/>
      <w:docPartObj>
        <w:docPartGallery w:val="autotext"/>
      </w:docPartObj>
    </w:sdtPr>
    <w:sdtContent>
      <w:p>
        <w:pPr>
          <w:pStyle w:val="17"/>
          <w:ind w:firstLine="360"/>
          <w:jc w:val="center"/>
        </w:pPr>
        <w:r>
          <w:fldChar w:fldCharType="begin"/>
        </w:r>
        <w:r>
          <w:instrText xml:space="preserve">PAGE   \* MERGEFORMAT</w:instrText>
        </w:r>
        <w:r>
          <w:fldChar w:fldCharType="separate"/>
        </w:r>
        <w:r>
          <w:rPr>
            <w:lang w:val="zh-CN"/>
          </w:rPr>
          <w:t>IV</w:t>
        </w:r>
        <w:r>
          <w:fldChar w:fldCharType="end"/>
        </w:r>
      </w:p>
    </w:sdtContent>
  </w:sdt>
  <w:p>
    <w:pPr>
      <w:pStyle w:val="1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285697"/>
      <w:docPartObj>
        <w:docPartGallery w:val="autotext"/>
      </w:docPartObj>
    </w:sdtPr>
    <w:sdtContent>
      <w:p>
        <w:pPr>
          <w:pStyle w:val="17"/>
          <w:ind w:firstLine="0" w:firstLineChars="0"/>
          <w:jc w:val="center"/>
        </w:pPr>
        <w:r>
          <w:t>第</w:t>
        </w:r>
        <w:r>
          <w:rPr>
            <w:rFonts w:hint="eastAsia"/>
          </w:rPr>
          <w:t xml:space="preserve"> </w:t>
        </w:r>
        <w:r>
          <w:fldChar w:fldCharType="begin"/>
        </w:r>
        <w:r>
          <w:instrText xml:space="preserve">PAGE   \* MERGEFORMAT</w:instrText>
        </w:r>
        <w:r>
          <w:fldChar w:fldCharType="separate"/>
        </w:r>
        <w:r>
          <w:rPr>
            <w:lang w:val="zh-CN"/>
          </w:rPr>
          <w:t>65</w:t>
        </w:r>
        <w:r>
          <w:fldChar w:fldCharType="end"/>
        </w:r>
        <w:r>
          <w:t xml:space="preserve"> 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8"/>
        <w:ind w:firstLine="360"/>
      </w:pPr>
      <w:r>
        <w:rPr>
          <w:rStyle w:val="36"/>
        </w:rPr>
        <w:footnoteRef/>
      </w:r>
      <w:r>
        <w:rPr>
          <w:rFonts w:hint="eastAsia"/>
        </w:rPr>
        <w:t xml:space="preserve"> </w:t>
      </w:r>
      <w:r>
        <w:t>《国家中长期教育改革和发展规划纲要（2010-2020年）》，中共中央</w:t>
      </w:r>
      <w:r>
        <w:rPr>
          <w:rFonts w:hint="eastAsia"/>
        </w:rPr>
        <w:t xml:space="preserve"> </w:t>
      </w:r>
      <w:r>
        <w:t>国务院，2010年</w:t>
      </w:r>
    </w:p>
  </w:footnote>
  <w:footnote w:id="1">
    <w:p>
      <w:pPr>
        <w:pStyle w:val="88"/>
        <w:ind w:firstLine="360"/>
      </w:pPr>
      <w:r>
        <w:rPr>
          <w:rStyle w:val="36"/>
        </w:rPr>
        <w:footnoteRef/>
      </w:r>
      <w:r>
        <w:t xml:space="preserve"> </w:t>
      </w:r>
      <w:r>
        <w:rPr>
          <w:rFonts w:hint="eastAsia"/>
        </w:rPr>
        <w:t>当前为《国家学生体质健康标准（2014年修订）》的通知（教体艺〔2014〕5号）</w:t>
      </w:r>
    </w:p>
  </w:footnote>
  <w:footnote w:id="2">
    <w:p>
      <w:pPr>
        <w:pStyle w:val="88"/>
        <w:ind w:firstLine="360"/>
      </w:pPr>
      <w:r>
        <w:rPr>
          <w:rStyle w:val="36"/>
        </w:rPr>
        <w:footnoteRef/>
      </w:r>
      <w:r>
        <w:t xml:space="preserve"> </w:t>
      </w:r>
      <w:r>
        <w:rPr>
          <w:rFonts w:hint="eastAsia"/>
        </w:rPr>
        <w:t>现行为《中小学心理健康教育指导纲要（2012年修订）</w:t>
      </w:r>
      <w:r>
        <w:t>》，教育部，2012</w:t>
      </w:r>
    </w:p>
  </w:footnote>
  <w:footnote w:id="3">
    <w:p>
      <w:pPr>
        <w:pStyle w:val="22"/>
        <w:ind w:firstLine="360" w:firstLineChars="200"/>
        <w:rPr>
          <w:rFonts w:ascii="Times New Roman" w:hAnsi="Times New Roman" w:eastAsia="楷体"/>
          <w:sz w:val="18"/>
        </w:rPr>
      </w:pPr>
      <w:r>
        <w:rPr>
          <w:rStyle w:val="36"/>
          <w:rFonts w:ascii="Times New Roman" w:hAnsi="Times New Roman" w:eastAsia="楷体"/>
          <w:sz w:val="18"/>
        </w:rPr>
        <w:footnoteRef/>
      </w:r>
      <w:r>
        <w:rPr>
          <w:rStyle w:val="36"/>
          <w:rFonts w:ascii="Times New Roman" w:hAnsi="Times New Roman" w:eastAsia="楷体"/>
          <w:sz w:val="18"/>
        </w:rPr>
        <w:t xml:space="preserve"> </w:t>
      </w:r>
      <w:r>
        <w:rPr>
          <w:rFonts w:hint="eastAsia" w:ascii="Times New Roman" w:hAnsi="Times New Roman" w:eastAsia="楷体"/>
          <w:sz w:val="18"/>
        </w:rPr>
        <w:t>《关于深化新时代学校思想政治理论课改革创新的若干意见》，中共中央办公厅、国务院办公厅，2</w:t>
      </w:r>
      <w:r>
        <w:rPr>
          <w:rFonts w:ascii="Times New Roman" w:hAnsi="Times New Roman" w:eastAsia="楷体"/>
          <w:sz w:val="18"/>
        </w:rPr>
        <w:t>019</w:t>
      </w:r>
      <w:r>
        <w:rPr>
          <w:rFonts w:hint="eastAsia" w:ascii="Times New Roman" w:hAnsi="Times New Roman" w:eastAsia="楷体"/>
          <w:sz w:val="18"/>
        </w:rPr>
        <w:t>；《关于加强新时代中小学思想政治理论课教师队伍建设的意见》，教育部 中央组织部 中央宣传部 财政部 人力资源社会保障部，2</w:t>
      </w:r>
      <w:r>
        <w:rPr>
          <w:rFonts w:ascii="Times New Roman" w:hAnsi="Times New Roman" w:eastAsia="楷体"/>
          <w:sz w:val="18"/>
        </w:rPr>
        <w:t>019</w:t>
      </w:r>
    </w:p>
  </w:footnote>
  <w:footnote w:id="4">
    <w:p>
      <w:pPr>
        <w:pStyle w:val="88"/>
        <w:ind w:firstLine="360"/>
      </w:pPr>
      <w:r>
        <w:rPr>
          <w:rStyle w:val="36"/>
        </w:rPr>
        <w:footnoteRef/>
      </w:r>
      <w:r>
        <w:t xml:space="preserve"> 《普通高等学校辅导员队伍建设规定》，教育部</w:t>
      </w:r>
      <w:r>
        <w:rPr>
          <w:rFonts w:hint="eastAsia"/>
        </w:rPr>
        <w:t>令第43条</w:t>
      </w:r>
      <w:r>
        <w:t>，2017</w:t>
      </w:r>
    </w:p>
  </w:footnote>
  <w:footnote w:id="5">
    <w:p>
      <w:pPr>
        <w:pStyle w:val="88"/>
        <w:ind w:firstLine="360"/>
      </w:pPr>
      <w:r>
        <w:rPr>
          <w:rStyle w:val="36"/>
        </w:rPr>
        <w:footnoteRef/>
      </w:r>
      <w:r>
        <w:t xml:space="preserve"> 《</w:t>
      </w:r>
      <w:r>
        <w:rPr>
          <w:rFonts w:hint="eastAsia"/>
        </w:rPr>
        <w:t>高等学校学生心理健康教育指导纲要</w:t>
      </w:r>
      <w:r>
        <w:t>》，教育部</w:t>
      </w:r>
      <w:r>
        <w:rPr>
          <w:rFonts w:hint="eastAsia"/>
        </w:rPr>
        <w:t>党组</w:t>
      </w:r>
      <w:r>
        <w:t>，</w:t>
      </w:r>
      <w:r>
        <w:rPr>
          <w:rFonts w:hint="eastAsia"/>
        </w:rPr>
        <w:t>2018</w:t>
      </w:r>
    </w:p>
  </w:footnote>
  <w:footnote w:id="6">
    <w:p>
      <w:pPr>
        <w:widowControl/>
        <w:spacing w:line="240" w:lineRule="auto"/>
        <w:ind w:firstLine="0" w:firstLineChars="0"/>
        <w:jc w:val="left"/>
        <w:rPr>
          <w:rFonts w:ascii="宋体" w:hAnsi="宋体" w:cs="宋体"/>
        </w:rPr>
      </w:pPr>
      <w:r>
        <w:rPr>
          <w:rStyle w:val="36"/>
        </w:rPr>
        <w:footnoteRef/>
      </w:r>
      <w:r>
        <w:t xml:space="preserve"> </w:t>
      </w:r>
      <w:r>
        <w:rPr>
          <w:rFonts w:hint="eastAsia" w:eastAsia="楷体"/>
          <w:sz w:val="18"/>
          <w:szCs w:val="20"/>
          <w:lang w:val="zh-CN"/>
        </w:rPr>
        <w:t>例如，《县域义务教育优质均衡发展督导评估办法》（教督〔2017〕6号）</w:t>
      </w:r>
      <w:r>
        <w:rPr>
          <w:rFonts w:eastAsia="楷体"/>
          <w:sz w:val="18"/>
          <w:szCs w:val="20"/>
          <w:lang w:val="zh-CN"/>
        </w:rPr>
        <w:t xml:space="preserve"> </w:t>
      </w:r>
    </w:p>
  </w:footnote>
  <w:footnote w:id="7">
    <w:p>
      <w:pPr>
        <w:pStyle w:val="88"/>
        <w:ind w:firstLine="360"/>
      </w:pPr>
      <w:r>
        <w:rPr>
          <w:rStyle w:val="36"/>
        </w:rPr>
        <w:footnoteRef/>
      </w:r>
      <w:r>
        <w:t xml:space="preserve"> 《国家学校体育卫生条件试行基本标准》，教育部 财政部 卫生部，2008</w:t>
      </w:r>
    </w:p>
  </w:footnote>
  <w:footnote w:id="8">
    <w:p>
      <w:pPr>
        <w:pStyle w:val="88"/>
        <w:ind w:firstLine="360"/>
      </w:pPr>
      <w:r>
        <w:rPr>
          <w:rStyle w:val="36"/>
        </w:rPr>
        <w:footnoteRef/>
      </w:r>
      <w:r>
        <w:t xml:space="preserve"> 《国家学校体育卫生条件试行基本标准》，教育部 财政部 卫生部，2008</w:t>
      </w:r>
    </w:p>
  </w:footnote>
  <w:footnote w:id="9">
    <w:p>
      <w:pPr>
        <w:pStyle w:val="88"/>
        <w:ind w:firstLine="360"/>
      </w:pPr>
      <w:r>
        <w:rPr>
          <w:rStyle w:val="36"/>
        </w:rPr>
        <w:footnoteRef/>
      </w:r>
      <w:r>
        <w:t xml:space="preserve"> 《国家学校体育卫生条件试行基本标准》，教育部 财政部 卫生部，2008</w:t>
      </w:r>
    </w:p>
  </w:footnote>
  <w:footnote w:id="10">
    <w:p>
      <w:pPr>
        <w:pStyle w:val="88"/>
        <w:ind w:firstLine="360"/>
      </w:pPr>
      <w:r>
        <w:rPr>
          <w:rStyle w:val="36"/>
        </w:rPr>
        <w:footnoteRef/>
      </w:r>
      <w:r>
        <w:t xml:space="preserve"> 《中国教育经费统计年鉴2018》，教育部财务司 国家统计局社会科技和文化产业统计司，中国统计出版社，2019年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E056B"/>
    <w:multiLevelType w:val="multilevel"/>
    <w:tmpl w:val="6F2E056B"/>
    <w:lvl w:ilvl="0" w:tentative="0">
      <w:start w:val="1"/>
      <w:numFmt w:val="decimal"/>
      <w:pStyle w:val="5"/>
      <w:suff w:val="space"/>
      <w:lvlText w:val="(%1)"/>
      <w:lvlJc w:val="left"/>
      <w:pPr>
        <w:ind w:left="842" w:hanging="4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F512C63-E567-4F0F-A891-8E721286FD9E}" w:val=" ADDIN NE.Ref.{0F512C63-E567-4F0F-A891-8E721286FD9E}&lt;Citation&gt;&lt;Group&gt;&lt;References&gt;&lt;Item&gt;&lt;ID&gt;92&lt;/ID&gt;&lt;UID&gt;{F2C1C140-8F09-4D3E-AF24-9934DB069AF9}&lt;/UID&gt;&lt;Title&gt;国家五年规划的实施机制研究:实施路径、困境及其破解&lt;/Title&gt;&lt;Template&gt;Journal Article&lt;/Template&gt;&lt;Star&gt;0&lt;/Star&gt;&lt;Tag&gt;0&lt;/Tag&gt;&lt;Author&gt;姜佳莹; 胡鞍钢; 鄢一龙&lt;/Author&gt;&lt;Year&gt;2017&lt;/Year&gt;&lt;Details&gt;&lt;_author_adr&gt;清华大学公共管理学院;&lt;/_author_adr&gt;&lt;_collection_scope&gt;CSSCI;&lt;/_collection_scope&gt;&lt;_created&gt;62551724&lt;/_created&gt;&lt;_db_provider&gt;CNKI&lt;/_db_provider&gt;&lt;_isbn&gt;1001-9162&lt;/_isbn&gt;&lt;_issue&gt;03&lt;/_issue&gt;&lt;_journal&gt;西北师大学报(社会科学版)&lt;/_journal&gt;&lt;_keywords&gt;五年规划;实施机制;地方政府&lt;/_keywords&gt;&lt;_modified&gt;62553024&lt;/_modified&gt;&lt;_pages&gt;24-30&lt;/_pages&gt;&lt;_url&gt;http://kns.cnki.net/kns/download.aspx?filename=k9CbYRlcEx2c5tWZYNkcN1ENGRVZ4AjYMlUY1QENx8iawQ2U5tCbiJXTyc1SrJmWOF1NBlkVhRlZDhWbUJXdkhUc41UbU9ieKRGaqNnTFFmRyMXWGNmV2FVdZBlS49CZBdUQXZzaEpET44WewIkYp9UZsJGbZNlS&amp;amp;tablename=CJFDLAST2017&amp;amp;dflag=pdfdown 全文链接_x000d__x000a_&lt;/_url&gt;&lt;_volume&gt;54&lt;/_volume&gt;&lt;_translated_author&gt;Jiang, Jiaying;Hu, Angang;Yan, Yilong&lt;/_translated_author&gt;&lt;/Details&gt;&lt;Extra&gt;&lt;DBUID&gt;{F64DF62D-449D-4752-9E5F-876F83E58908}&lt;/DBUID&gt;&lt;/Extra&gt;&lt;/Item&gt;&lt;/References&gt;&lt;/Group&gt;&lt;/Citation&gt;_x000a_"/>
    <w:docVar w:name="NE.Ref{37D9A38E-A6B3-40D1-AEB9-7D59755D4825}" w:val=" ADDIN NE.Ref.{37D9A38E-A6B3-40D1-AEB9-7D59755D4825}&lt;Citation&gt;&lt;Group&gt;&lt;References&gt;&lt;Item&gt;&lt;ID&gt;100&lt;/ID&gt;&lt;UID&gt;{13FCA7CC-65D0-4689-B0BB-BFA61F756212}&lt;/UID&gt;&lt;Title&gt;教育规划基础&lt;/Title&gt;&lt;Template&gt;Book&lt;/Template&gt;&lt;Star&gt;0&lt;/Star&gt;&lt;Tag&gt;0&lt;/Tag&gt;&lt;Author&gt;联合国教科文组织国际教育规划研究所&lt;/Author&gt;&lt;Year&gt;2009&lt;/Year&gt;&lt;Details&gt;&lt;_publisher&gt;上海教育出版社&lt;/_publisher&gt;&lt;_created&gt;62553007&lt;/_created&gt;&lt;_modified&gt;62553007&lt;/_modified&gt;&lt;_translated_author&gt;Lian, Heguojiaokewenzuzhiguojijiaoyuguihuayanjiusuo&lt;/_translated_author&gt;&lt;/Details&gt;&lt;Extra&gt;&lt;DBUID&gt;{F64DF62D-449D-4752-9E5F-876F83E58908}&lt;/DBUID&gt;&lt;/Extra&gt;&lt;/Item&gt;&lt;/References&gt;&lt;/Group&gt;&lt;/Citation&gt;_x000a_"/>
    <w:docVar w:name="NE.Ref{451C8F70-8B64-41CB-8D08-57C1195CF4C4}" w:val=" ADDIN NE.Ref.{451C8F70-8B64-41CB-8D08-57C1195CF4C4}&lt;Citation&gt;&lt;Group&gt;&lt;References&gt;&lt;Item&gt;&lt;ID&gt;77&lt;/ID&gt;&lt;UID&gt;{80EE9B3B-43BE-4102-A647-D3C221513535}&lt;/UID&gt;&lt;Title&gt;从总体支配到技术治理:国家教育事业“五年规划”文本的话语演变&lt;/Title&gt;&lt;Template&gt;Journal Article&lt;/Template&gt;&lt;Star&gt;0&lt;/Star&gt;&lt;Tag&gt;0&lt;/Tag&gt;&lt;Author&gt;汪卫平&lt;/Author&gt;&lt;Year&gt;2018&lt;/Year&gt;&lt;Details&gt;&lt;_author_adr&gt;复旦大学;&lt;/_author_adr&gt;&lt;_collection_scope&gt;CSSCI;&lt;/_collection_scope&gt;&lt;_created&gt;62551707&lt;/_created&gt;&lt;_db_provider&gt;CNKI&lt;/_db_provider&gt;&lt;_isbn&gt;1674-5485&lt;/_isbn&gt;&lt;_issue&gt;09&lt;/_issue&gt;&lt;_journal&gt;现代教育管理&lt;/_journal&gt;&lt;_keywords&gt;教育规划;政策四维视角;话语分析;五年规划&lt;/_keywords&gt;&lt;_modified&gt;62551717&lt;/_modified&gt;&lt;_pages&gt;29-34&lt;/_pages&gt;&lt;_url&gt;http://kns.cnki.net/kns/download.aspx?filename=almZz1UZyZDdMtmRwpme49UVwQUOxBFMpdjVpRUe3AlVxYUTwlHTz9SN2RzMjNUOalGUHZmaCtmTzNGerd1U50GUCpXaFlmTT9CdwYEcYl1QltUOFNmZaZza3IDNiRUSlRGRX9yU1MFMZpnUYJ1LopkVnlTM4cna&amp;amp;tablename=CJFDLAST2018&amp;amp;dflag=pdfdown 全文链接_x000d__x000a_&lt;/_url&gt;&lt;_translated_author&gt;Wang, Weiping&lt;/_translated_author&gt;&lt;/Details&gt;&lt;Extra&gt;&lt;DBUID&gt;{F64DF62D-449D-4752-9E5F-876F83E58908}&lt;/DBUID&gt;&lt;/Extra&gt;&lt;/Item&gt;&lt;/References&gt;&lt;/Group&gt;&lt;/Citation&gt;_x000a_"/>
    <w:docVar w:name="NE.Ref{6E4A2730-F5A9-4C3C-B8B7-27D1386A5341}" w:val=" ADDIN NE.Ref.{6E4A2730-F5A9-4C3C-B8B7-27D1386A5341}&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97497667-932F-4235-B4A4-8AF4DC672206}" w:val=" ADDIN NE.Ref.{97497667-932F-4235-B4A4-8AF4DC672206}&lt;Citation&gt;&lt;Group&gt;&lt;References&gt;&lt;Item&gt;&lt;ID&gt;49&lt;/ID&gt;&lt;UID&gt;{A6773883-95CA-4C97-AA12-5F9EAF26348B}&lt;/UID&gt;&lt;Title&gt;国际精准制订教育规划值得借鉴&lt;/Title&gt;&lt;Template&gt;Journal Article&lt;/Template&gt;&lt;Star&gt;1&lt;/Star&gt;&lt;Tag&gt;0&lt;/Tag&gt;&lt;Author&gt;秦建平&lt;/Author&gt;&lt;Year&gt;2016&lt;/Year&gt;&lt;Details&gt;&lt;_author_adr&gt;四川省成都市教育科学研究院;&lt;/_author_adr&gt;&lt;_collection_scope&gt;CSSCI;中文核心期刊;&lt;/_collection_scope&gt;&lt;_created&gt;62213676&lt;/_created&gt;&lt;_db_provider&gt;CNKI&lt;/_db_provider&gt;&lt;_isbn&gt;1002-4808&lt;/_isbn&gt;&lt;_issue&gt;03&lt;/_issue&gt;&lt;_journal&gt;中国教育学刊&lt;/_journal&gt;&lt;_keywords&gt;国际教育规划;;精准制定规划;;“十三五”规划&lt;/_keywords&gt;&lt;_modified&gt;62214656&lt;/_modified&gt;&lt;_pages&gt;11-15&lt;/_pages&gt;&lt;_url&gt;http://kns.cnki.net/kns/download.aspx?filename=ttGStFVdaBnNalUWBVjR3p3LPtySLV3T38Cdw0EZ2hUcmVGUCh3d0oHVzMzMxIGdy9kSDN3Y1ZESYVEbVp2LypkbDxkTxVEMUV2UEFTawRTc4lzYTRnas5UM2IHTpRGcBNkT0lHRE9UN51mZJZzb31UN3oVa252Z&amp;amp;tablename=CJFDLAST2016&amp;amp;dflag=pdfdown 全文链接_x000d__x000a_&lt;/_url&gt;&lt;_translated_author&gt;Qin, Jianping&lt;/_translated_author&gt;&lt;/Details&gt;&lt;Extra&gt;&lt;DBUID&gt;{F64DF62D-449D-4752-9E5F-876F83E58908}&lt;/DBUID&gt;&lt;/Extra&gt;&lt;/Item&gt;&lt;/References&gt;&lt;/Group&gt;&lt;/Citation&gt;_x000a_"/>
    <w:docVar w:name="NE.Ref{9BF34DDF-9E42-4A90-84F4-EE30537127F6}" w:val=" ADDIN NE.Ref.{9BF34DDF-9E42-4A90-84F4-EE30537127F6}&lt;Citation&gt;&lt;Group&gt;&lt;References&gt;&lt;Item&gt;&lt;ID&gt;5&lt;/ID&gt;&lt;UID&gt;{AA189B03-9AA3-42B7-BE53-A9CDE99A4BA2}&lt;/UID&gt;&lt;Title&gt;我国中小城市区域教育规划编制研究:问题与对策&lt;/Title&gt;&lt;Template&gt;Journal Article&lt;/Template&gt;&lt;Star&gt;0&lt;/Star&gt;&lt;Tag&gt;0&lt;/Tag&gt;&lt;Author&gt;高淮微&lt;/Author&gt;&lt;Year&gt;2016&lt;/Year&gt;&lt;Details&gt;&lt;_author_adr&gt;浙江省城市治理研究中心杭州国际城市学研究中心;&lt;/_author_adr&gt;&lt;_collection_scope&gt;CSSCI;中文核心期刊;&lt;/_collection_scope&gt;&lt;_created&gt;62209367&lt;/_created&gt;&lt;_db_provider&gt;CNKI&lt;/_db_provider&gt;&lt;_isbn&gt;1008-3855&lt;/_isbn&gt;&lt;_issue&gt;05&lt;/_issue&gt;&lt;_journal&gt;教育发展研究&lt;/_journal&gt;&lt;_keywords&gt;中小城市;;区域;;教育规划;;复杂情境决策;;有限理性;;复杂性领导&lt;/_keywords&gt;&lt;_modified&gt;62214970&lt;/_modified&gt;&lt;_pages&gt;11-16&lt;/_pages&gt;&lt;_url&gt;http://kns.cnki.net/kns/download.aspx?filename=F1URYZjWjdFO5okNxRHev12MQNmTztidyYDZlJ2LwFHZ1kWULRDb6R0TtJ3TylmQGJWQwokZO90REFWaEpWWr9GOCdGUBV1UsJzT6VXdad2NadWTMZnWjRmY20GWyBlRxV1a0onUTNEcYVGWHxmUwZTeudlTwp0K&amp;amp;tablename=CJFDLAST2016&amp;amp;dflag=pdfdown 全文链接_x000d__x000a_&lt;/_url&gt;&lt;_translated_author&gt;Gao, Huaiwei&lt;/_translated_author&gt;&lt;/Details&gt;&lt;Extra&gt;&lt;DBUID&gt;{F64DF62D-449D-4752-9E5F-876F83E58908}&lt;/DBUID&gt;&lt;/Extra&gt;&lt;/Item&gt;&lt;/References&gt;&lt;/Group&gt;&lt;/Citation&gt;_x000a_"/>
    <w:docVar w:name="NE.Ref{B7622B75-BA65-4152-9E46-48E502F43D87}" w:val=" ADDIN NE.Ref.{B7622B75-BA65-4152-9E46-48E502F43D87}&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C8F19E-BFE3-4E4B-9B63-18892266A786}" w:val=" ADDIN NE.Ref.{BCC8F19E-BFE3-4E4B-9B63-18892266A786}&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F08E5C-957D-46D0-826B-EE2AD79BECA9}" w:val=" ADDIN NE.Ref.{BCF08E5C-957D-46D0-826B-EE2AD79BECA9}&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F910F57E-7F76-4C85-A840-20AC9E7996C4}" w:val=" ADDIN NE.Ref.{F910F57E-7F76-4C85-A840-20AC9E7996C4}&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_docsoft" w:val="MSWord"/>
    <w:docVar w:name="ne_docversion" w:val="NoteExpress 2.0"/>
    <w:docVar w:name="ne_stylename" w:val="Numbered(multilingual)"/>
  </w:docVars>
  <w:rsids>
    <w:rsidRoot w:val="00E03F2C"/>
    <w:rsid w:val="000007F0"/>
    <w:rsid w:val="00003725"/>
    <w:rsid w:val="00003924"/>
    <w:rsid w:val="00005D97"/>
    <w:rsid w:val="00006014"/>
    <w:rsid w:val="000064C0"/>
    <w:rsid w:val="00006D36"/>
    <w:rsid w:val="000073A9"/>
    <w:rsid w:val="0000787D"/>
    <w:rsid w:val="00007F5E"/>
    <w:rsid w:val="00010A3C"/>
    <w:rsid w:val="00011C69"/>
    <w:rsid w:val="00012724"/>
    <w:rsid w:val="0001292F"/>
    <w:rsid w:val="00013137"/>
    <w:rsid w:val="00013634"/>
    <w:rsid w:val="000137DE"/>
    <w:rsid w:val="0001394F"/>
    <w:rsid w:val="00013951"/>
    <w:rsid w:val="00014461"/>
    <w:rsid w:val="0001463A"/>
    <w:rsid w:val="00014A6A"/>
    <w:rsid w:val="000150CA"/>
    <w:rsid w:val="00017AFE"/>
    <w:rsid w:val="00020CE8"/>
    <w:rsid w:val="00020D39"/>
    <w:rsid w:val="00021A80"/>
    <w:rsid w:val="00021F77"/>
    <w:rsid w:val="0002259A"/>
    <w:rsid w:val="000239FB"/>
    <w:rsid w:val="00024B11"/>
    <w:rsid w:val="000255A7"/>
    <w:rsid w:val="00025BF1"/>
    <w:rsid w:val="00025E9E"/>
    <w:rsid w:val="00025F8A"/>
    <w:rsid w:val="00026CAD"/>
    <w:rsid w:val="0002700D"/>
    <w:rsid w:val="000308D9"/>
    <w:rsid w:val="0003114C"/>
    <w:rsid w:val="00032488"/>
    <w:rsid w:val="00032E58"/>
    <w:rsid w:val="00032FE3"/>
    <w:rsid w:val="0003382D"/>
    <w:rsid w:val="00033E14"/>
    <w:rsid w:val="00033FA0"/>
    <w:rsid w:val="0003487A"/>
    <w:rsid w:val="000352A9"/>
    <w:rsid w:val="00036649"/>
    <w:rsid w:val="00036ABB"/>
    <w:rsid w:val="0003717C"/>
    <w:rsid w:val="00037585"/>
    <w:rsid w:val="0004194D"/>
    <w:rsid w:val="0004210D"/>
    <w:rsid w:val="000421D0"/>
    <w:rsid w:val="00042298"/>
    <w:rsid w:val="00042F9A"/>
    <w:rsid w:val="00045095"/>
    <w:rsid w:val="00045A94"/>
    <w:rsid w:val="00045B35"/>
    <w:rsid w:val="00047863"/>
    <w:rsid w:val="00053012"/>
    <w:rsid w:val="00053292"/>
    <w:rsid w:val="000532EA"/>
    <w:rsid w:val="000532FE"/>
    <w:rsid w:val="000538BA"/>
    <w:rsid w:val="0005463D"/>
    <w:rsid w:val="00054BC4"/>
    <w:rsid w:val="0005508D"/>
    <w:rsid w:val="00056A1B"/>
    <w:rsid w:val="0005762A"/>
    <w:rsid w:val="0005793E"/>
    <w:rsid w:val="000602EE"/>
    <w:rsid w:val="00060D31"/>
    <w:rsid w:val="00061DA1"/>
    <w:rsid w:val="00062258"/>
    <w:rsid w:val="00063384"/>
    <w:rsid w:val="00064E04"/>
    <w:rsid w:val="00065C9A"/>
    <w:rsid w:val="0006662F"/>
    <w:rsid w:val="00070D57"/>
    <w:rsid w:val="00070DC3"/>
    <w:rsid w:val="000714AF"/>
    <w:rsid w:val="00072675"/>
    <w:rsid w:val="0007640F"/>
    <w:rsid w:val="00076542"/>
    <w:rsid w:val="000775BB"/>
    <w:rsid w:val="00077989"/>
    <w:rsid w:val="000807B2"/>
    <w:rsid w:val="00081383"/>
    <w:rsid w:val="000815D3"/>
    <w:rsid w:val="00081725"/>
    <w:rsid w:val="000823A7"/>
    <w:rsid w:val="00085392"/>
    <w:rsid w:val="0008580C"/>
    <w:rsid w:val="00085918"/>
    <w:rsid w:val="00085AD9"/>
    <w:rsid w:val="000877A8"/>
    <w:rsid w:val="00090431"/>
    <w:rsid w:val="000905A2"/>
    <w:rsid w:val="00090A32"/>
    <w:rsid w:val="00090C83"/>
    <w:rsid w:val="00090D30"/>
    <w:rsid w:val="00091214"/>
    <w:rsid w:val="0009184B"/>
    <w:rsid w:val="00091857"/>
    <w:rsid w:val="0009252E"/>
    <w:rsid w:val="000934E7"/>
    <w:rsid w:val="00093F7F"/>
    <w:rsid w:val="00094084"/>
    <w:rsid w:val="00094882"/>
    <w:rsid w:val="00094A7E"/>
    <w:rsid w:val="000955EC"/>
    <w:rsid w:val="000974E7"/>
    <w:rsid w:val="0009784E"/>
    <w:rsid w:val="00097B02"/>
    <w:rsid w:val="00097D59"/>
    <w:rsid w:val="000A02BE"/>
    <w:rsid w:val="000A07DF"/>
    <w:rsid w:val="000A0F8E"/>
    <w:rsid w:val="000A12E0"/>
    <w:rsid w:val="000A1329"/>
    <w:rsid w:val="000A1B6E"/>
    <w:rsid w:val="000A2416"/>
    <w:rsid w:val="000A2988"/>
    <w:rsid w:val="000A39A0"/>
    <w:rsid w:val="000A3F6B"/>
    <w:rsid w:val="000A5D94"/>
    <w:rsid w:val="000A5DA7"/>
    <w:rsid w:val="000A5E4A"/>
    <w:rsid w:val="000A6F43"/>
    <w:rsid w:val="000A7A94"/>
    <w:rsid w:val="000A7CF9"/>
    <w:rsid w:val="000B027A"/>
    <w:rsid w:val="000B0424"/>
    <w:rsid w:val="000B077F"/>
    <w:rsid w:val="000B1AA6"/>
    <w:rsid w:val="000B1AC2"/>
    <w:rsid w:val="000B1B42"/>
    <w:rsid w:val="000B1D45"/>
    <w:rsid w:val="000B3284"/>
    <w:rsid w:val="000B4015"/>
    <w:rsid w:val="000B4445"/>
    <w:rsid w:val="000B44DA"/>
    <w:rsid w:val="000B5ADB"/>
    <w:rsid w:val="000B5F8D"/>
    <w:rsid w:val="000B7869"/>
    <w:rsid w:val="000B7EA6"/>
    <w:rsid w:val="000C1257"/>
    <w:rsid w:val="000C15F2"/>
    <w:rsid w:val="000C1C9E"/>
    <w:rsid w:val="000C2685"/>
    <w:rsid w:val="000C2BA1"/>
    <w:rsid w:val="000C2D99"/>
    <w:rsid w:val="000C31BC"/>
    <w:rsid w:val="000C5017"/>
    <w:rsid w:val="000C6E0E"/>
    <w:rsid w:val="000D27CE"/>
    <w:rsid w:val="000D2C41"/>
    <w:rsid w:val="000D3D5D"/>
    <w:rsid w:val="000D3D80"/>
    <w:rsid w:val="000D42DA"/>
    <w:rsid w:val="000D4EA9"/>
    <w:rsid w:val="000D5A22"/>
    <w:rsid w:val="000D64D8"/>
    <w:rsid w:val="000D7514"/>
    <w:rsid w:val="000D7BD0"/>
    <w:rsid w:val="000D7F3D"/>
    <w:rsid w:val="000E0D8D"/>
    <w:rsid w:val="000E22EB"/>
    <w:rsid w:val="000E36F1"/>
    <w:rsid w:val="000E5761"/>
    <w:rsid w:val="000E5774"/>
    <w:rsid w:val="000E649C"/>
    <w:rsid w:val="000E6ACD"/>
    <w:rsid w:val="000E6D3F"/>
    <w:rsid w:val="000E6E27"/>
    <w:rsid w:val="000E7F0D"/>
    <w:rsid w:val="000F14E0"/>
    <w:rsid w:val="000F218E"/>
    <w:rsid w:val="000F22E9"/>
    <w:rsid w:val="000F22FD"/>
    <w:rsid w:val="000F3155"/>
    <w:rsid w:val="000F39F9"/>
    <w:rsid w:val="000F472C"/>
    <w:rsid w:val="000F5A14"/>
    <w:rsid w:val="000F64FF"/>
    <w:rsid w:val="000F6C16"/>
    <w:rsid w:val="000F74B8"/>
    <w:rsid w:val="000F77CE"/>
    <w:rsid w:val="001007EC"/>
    <w:rsid w:val="001011F8"/>
    <w:rsid w:val="0010166C"/>
    <w:rsid w:val="00101C3D"/>
    <w:rsid w:val="00101C7C"/>
    <w:rsid w:val="0010426F"/>
    <w:rsid w:val="001044B2"/>
    <w:rsid w:val="001057C0"/>
    <w:rsid w:val="00105BCC"/>
    <w:rsid w:val="001063F0"/>
    <w:rsid w:val="0010730B"/>
    <w:rsid w:val="00107420"/>
    <w:rsid w:val="00107544"/>
    <w:rsid w:val="0010797E"/>
    <w:rsid w:val="0011007A"/>
    <w:rsid w:val="001104C4"/>
    <w:rsid w:val="00111023"/>
    <w:rsid w:val="00111201"/>
    <w:rsid w:val="00111739"/>
    <w:rsid w:val="00111AD8"/>
    <w:rsid w:val="00112280"/>
    <w:rsid w:val="0011258F"/>
    <w:rsid w:val="00113643"/>
    <w:rsid w:val="00114717"/>
    <w:rsid w:val="00114998"/>
    <w:rsid w:val="00116BCE"/>
    <w:rsid w:val="00116E5C"/>
    <w:rsid w:val="00117451"/>
    <w:rsid w:val="00117764"/>
    <w:rsid w:val="00117C7C"/>
    <w:rsid w:val="00121694"/>
    <w:rsid w:val="00122154"/>
    <w:rsid w:val="00122FC4"/>
    <w:rsid w:val="00125674"/>
    <w:rsid w:val="00125A9E"/>
    <w:rsid w:val="00126C8A"/>
    <w:rsid w:val="00127213"/>
    <w:rsid w:val="00127214"/>
    <w:rsid w:val="001311EE"/>
    <w:rsid w:val="00131FE1"/>
    <w:rsid w:val="00132E2B"/>
    <w:rsid w:val="0013308C"/>
    <w:rsid w:val="00133CC2"/>
    <w:rsid w:val="00134257"/>
    <w:rsid w:val="00135FDE"/>
    <w:rsid w:val="001363AB"/>
    <w:rsid w:val="00136FE8"/>
    <w:rsid w:val="00137DD6"/>
    <w:rsid w:val="00140336"/>
    <w:rsid w:val="0014097C"/>
    <w:rsid w:val="001412E9"/>
    <w:rsid w:val="00141536"/>
    <w:rsid w:val="00141D7E"/>
    <w:rsid w:val="00143901"/>
    <w:rsid w:val="0014495A"/>
    <w:rsid w:val="00145C55"/>
    <w:rsid w:val="00145C5A"/>
    <w:rsid w:val="001466A0"/>
    <w:rsid w:val="001473BF"/>
    <w:rsid w:val="00147C9D"/>
    <w:rsid w:val="00147EDA"/>
    <w:rsid w:val="00150561"/>
    <w:rsid w:val="0015375A"/>
    <w:rsid w:val="001538AE"/>
    <w:rsid w:val="001554CB"/>
    <w:rsid w:val="00155DBA"/>
    <w:rsid w:val="00156218"/>
    <w:rsid w:val="00157493"/>
    <w:rsid w:val="001605D7"/>
    <w:rsid w:val="00160663"/>
    <w:rsid w:val="0016116A"/>
    <w:rsid w:val="00162B7C"/>
    <w:rsid w:val="00162C1C"/>
    <w:rsid w:val="00163593"/>
    <w:rsid w:val="00166642"/>
    <w:rsid w:val="00166C2B"/>
    <w:rsid w:val="00166CA4"/>
    <w:rsid w:val="00166F09"/>
    <w:rsid w:val="00167948"/>
    <w:rsid w:val="00167D91"/>
    <w:rsid w:val="00167E43"/>
    <w:rsid w:val="00171169"/>
    <w:rsid w:val="0017141B"/>
    <w:rsid w:val="00171E58"/>
    <w:rsid w:val="0017307F"/>
    <w:rsid w:val="001735E3"/>
    <w:rsid w:val="0017362B"/>
    <w:rsid w:val="0017394C"/>
    <w:rsid w:val="00173A2F"/>
    <w:rsid w:val="001743F2"/>
    <w:rsid w:val="00174DAE"/>
    <w:rsid w:val="001752E0"/>
    <w:rsid w:val="0017550A"/>
    <w:rsid w:val="001759F2"/>
    <w:rsid w:val="00177066"/>
    <w:rsid w:val="00177F3C"/>
    <w:rsid w:val="00180801"/>
    <w:rsid w:val="00181220"/>
    <w:rsid w:val="001812F0"/>
    <w:rsid w:val="001832A9"/>
    <w:rsid w:val="001852F3"/>
    <w:rsid w:val="00186170"/>
    <w:rsid w:val="001863A3"/>
    <w:rsid w:val="0018685E"/>
    <w:rsid w:val="00187FB4"/>
    <w:rsid w:val="001902C8"/>
    <w:rsid w:val="00190B01"/>
    <w:rsid w:val="00190B5F"/>
    <w:rsid w:val="00191AB3"/>
    <w:rsid w:val="00191C67"/>
    <w:rsid w:val="00191D3F"/>
    <w:rsid w:val="00192464"/>
    <w:rsid w:val="00192621"/>
    <w:rsid w:val="00192684"/>
    <w:rsid w:val="0019604B"/>
    <w:rsid w:val="00197460"/>
    <w:rsid w:val="001A0600"/>
    <w:rsid w:val="001A0697"/>
    <w:rsid w:val="001A1275"/>
    <w:rsid w:val="001A129C"/>
    <w:rsid w:val="001A1A50"/>
    <w:rsid w:val="001A1F3C"/>
    <w:rsid w:val="001A259E"/>
    <w:rsid w:val="001A42CE"/>
    <w:rsid w:val="001A43B9"/>
    <w:rsid w:val="001A4561"/>
    <w:rsid w:val="001A479A"/>
    <w:rsid w:val="001A520A"/>
    <w:rsid w:val="001A74E1"/>
    <w:rsid w:val="001A74FB"/>
    <w:rsid w:val="001B0796"/>
    <w:rsid w:val="001B2AAD"/>
    <w:rsid w:val="001B2CFF"/>
    <w:rsid w:val="001B3DFB"/>
    <w:rsid w:val="001B3F38"/>
    <w:rsid w:val="001B4913"/>
    <w:rsid w:val="001B5271"/>
    <w:rsid w:val="001B53A6"/>
    <w:rsid w:val="001B5A30"/>
    <w:rsid w:val="001B5E29"/>
    <w:rsid w:val="001B6B6B"/>
    <w:rsid w:val="001B7619"/>
    <w:rsid w:val="001C0863"/>
    <w:rsid w:val="001C166C"/>
    <w:rsid w:val="001C1F7F"/>
    <w:rsid w:val="001C2056"/>
    <w:rsid w:val="001C2AAA"/>
    <w:rsid w:val="001C3B73"/>
    <w:rsid w:val="001C5CC4"/>
    <w:rsid w:val="001C6BB7"/>
    <w:rsid w:val="001C71BC"/>
    <w:rsid w:val="001C788F"/>
    <w:rsid w:val="001C7E7A"/>
    <w:rsid w:val="001D05BC"/>
    <w:rsid w:val="001D0FBE"/>
    <w:rsid w:val="001D37EB"/>
    <w:rsid w:val="001D392B"/>
    <w:rsid w:val="001D3FB5"/>
    <w:rsid w:val="001D428E"/>
    <w:rsid w:val="001D49BF"/>
    <w:rsid w:val="001D4AC4"/>
    <w:rsid w:val="001D5456"/>
    <w:rsid w:val="001D5B26"/>
    <w:rsid w:val="001D5E53"/>
    <w:rsid w:val="001D5F7F"/>
    <w:rsid w:val="001D5F85"/>
    <w:rsid w:val="001D663D"/>
    <w:rsid w:val="001D7089"/>
    <w:rsid w:val="001E02D3"/>
    <w:rsid w:val="001E1995"/>
    <w:rsid w:val="001E354D"/>
    <w:rsid w:val="001E3882"/>
    <w:rsid w:val="001E4062"/>
    <w:rsid w:val="001E4351"/>
    <w:rsid w:val="001E48AB"/>
    <w:rsid w:val="001E53B6"/>
    <w:rsid w:val="001E560A"/>
    <w:rsid w:val="001E5B94"/>
    <w:rsid w:val="001E7618"/>
    <w:rsid w:val="001E76D2"/>
    <w:rsid w:val="001F0A25"/>
    <w:rsid w:val="001F0CBB"/>
    <w:rsid w:val="001F1E4B"/>
    <w:rsid w:val="001F4459"/>
    <w:rsid w:val="001F7AAE"/>
    <w:rsid w:val="00202754"/>
    <w:rsid w:val="002027E9"/>
    <w:rsid w:val="00202E98"/>
    <w:rsid w:val="0020393B"/>
    <w:rsid w:val="00203D82"/>
    <w:rsid w:val="00204389"/>
    <w:rsid w:val="00205031"/>
    <w:rsid w:val="00206165"/>
    <w:rsid w:val="0020648B"/>
    <w:rsid w:val="0020744A"/>
    <w:rsid w:val="002078A9"/>
    <w:rsid w:val="0021052F"/>
    <w:rsid w:val="00211F84"/>
    <w:rsid w:val="00212854"/>
    <w:rsid w:val="00214C65"/>
    <w:rsid w:val="00215E22"/>
    <w:rsid w:val="0021679A"/>
    <w:rsid w:val="00217D3D"/>
    <w:rsid w:val="00220FAA"/>
    <w:rsid w:val="002213E7"/>
    <w:rsid w:val="002214C1"/>
    <w:rsid w:val="002218CE"/>
    <w:rsid w:val="002235F2"/>
    <w:rsid w:val="00224058"/>
    <w:rsid w:val="00225938"/>
    <w:rsid w:val="002262DB"/>
    <w:rsid w:val="00226D39"/>
    <w:rsid w:val="002271BF"/>
    <w:rsid w:val="00227B70"/>
    <w:rsid w:val="00230163"/>
    <w:rsid w:val="00230443"/>
    <w:rsid w:val="002317D8"/>
    <w:rsid w:val="00231935"/>
    <w:rsid w:val="002321C3"/>
    <w:rsid w:val="00233CEE"/>
    <w:rsid w:val="00234210"/>
    <w:rsid w:val="00234823"/>
    <w:rsid w:val="00235803"/>
    <w:rsid w:val="00237689"/>
    <w:rsid w:val="00240238"/>
    <w:rsid w:val="0024034A"/>
    <w:rsid w:val="00240431"/>
    <w:rsid w:val="00240BFD"/>
    <w:rsid w:val="00240D3F"/>
    <w:rsid w:val="0024166A"/>
    <w:rsid w:val="00242743"/>
    <w:rsid w:val="00242B71"/>
    <w:rsid w:val="00242D76"/>
    <w:rsid w:val="00243866"/>
    <w:rsid w:val="00243B3E"/>
    <w:rsid w:val="00244EB7"/>
    <w:rsid w:val="00244FD6"/>
    <w:rsid w:val="0024503F"/>
    <w:rsid w:val="002451CD"/>
    <w:rsid w:val="00245973"/>
    <w:rsid w:val="00246FA3"/>
    <w:rsid w:val="00250B0A"/>
    <w:rsid w:val="0025151B"/>
    <w:rsid w:val="00251B63"/>
    <w:rsid w:val="00251C5A"/>
    <w:rsid w:val="002526C5"/>
    <w:rsid w:val="00252CD7"/>
    <w:rsid w:val="00252ED9"/>
    <w:rsid w:val="00253B3D"/>
    <w:rsid w:val="00253BBC"/>
    <w:rsid w:val="00254471"/>
    <w:rsid w:val="002553EB"/>
    <w:rsid w:val="00255467"/>
    <w:rsid w:val="00255BC9"/>
    <w:rsid w:val="00255F76"/>
    <w:rsid w:val="00257B37"/>
    <w:rsid w:val="002605B6"/>
    <w:rsid w:val="002613F8"/>
    <w:rsid w:val="002615A7"/>
    <w:rsid w:val="00263BE2"/>
    <w:rsid w:val="0026451C"/>
    <w:rsid w:val="00264A92"/>
    <w:rsid w:val="0026578F"/>
    <w:rsid w:val="0026585C"/>
    <w:rsid w:val="00266793"/>
    <w:rsid w:val="00266E17"/>
    <w:rsid w:val="0026707D"/>
    <w:rsid w:val="00267E40"/>
    <w:rsid w:val="00271209"/>
    <w:rsid w:val="002712FD"/>
    <w:rsid w:val="002738C8"/>
    <w:rsid w:val="00274086"/>
    <w:rsid w:val="0027471C"/>
    <w:rsid w:val="002754F9"/>
    <w:rsid w:val="00275EED"/>
    <w:rsid w:val="002765E5"/>
    <w:rsid w:val="002775E0"/>
    <w:rsid w:val="00277608"/>
    <w:rsid w:val="00277F49"/>
    <w:rsid w:val="00281499"/>
    <w:rsid w:val="002825E5"/>
    <w:rsid w:val="00282F12"/>
    <w:rsid w:val="0028346F"/>
    <w:rsid w:val="00283FF6"/>
    <w:rsid w:val="002843C6"/>
    <w:rsid w:val="00284F44"/>
    <w:rsid w:val="00285872"/>
    <w:rsid w:val="00286254"/>
    <w:rsid w:val="00286A76"/>
    <w:rsid w:val="00286F47"/>
    <w:rsid w:val="0028741C"/>
    <w:rsid w:val="00291C02"/>
    <w:rsid w:val="00292EDF"/>
    <w:rsid w:val="00293303"/>
    <w:rsid w:val="00293A86"/>
    <w:rsid w:val="00295558"/>
    <w:rsid w:val="00295FFA"/>
    <w:rsid w:val="002962FD"/>
    <w:rsid w:val="00297401"/>
    <w:rsid w:val="002974A1"/>
    <w:rsid w:val="002A09A6"/>
    <w:rsid w:val="002A1887"/>
    <w:rsid w:val="002A2A34"/>
    <w:rsid w:val="002A2B1F"/>
    <w:rsid w:val="002A317D"/>
    <w:rsid w:val="002A3389"/>
    <w:rsid w:val="002A387C"/>
    <w:rsid w:val="002A40C0"/>
    <w:rsid w:val="002A45DA"/>
    <w:rsid w:val="002A4B17"/>
    <w:rsid w:val="002A7788"/>
    <w:rsid w:val="002A785A"/>
    <w:rsid w:val="002B051D"/>
    <w:rsid w:val="002B0728"/>
    <w:rsid w:val="002B1C98"/>
    <w:rsid w:val="002B2C7F"/>
    <w:rsid w:val="002B2DDC"/>
    <w:rsid w:val="002B38B5"/>
    <w:rsid w:val="002B3B1D"/>
    <w:rsid w:val="002B418A"/>
    <w:rsid w:val="002B7C91"/>
    <w:rsid w:val="002B7DF4"/>
    <w:rsid w:val="002C0215"/>
    <w:rsid w:val="002C2C80"/>
    <w:rsid w:val="002C41C8"/>
    <w:rsid w:val="002C4B59"/>
    <w:rsid w:val="002C5002"/>
    <w:rsid w:val="002C5B59"/>
    <w:rsid w:val="002C5C24"/>
    <w:rsid w:val="002C6417"/>
    <w:rsid w:val="002C65F5"/>
    <w:rsid w:val="002C7C2C"/>
    <w:rsid w:val="002C7DEA"/>
    <w:rsid w:val="002D0DE9"/>
    <w:rsid w:val="002D3249"/>
    <w:rsid w:val="002D36C6"/>
    <w:rsid w:val="002D47DA"/>
    <w:rsid w:val="002D6321"/>
    <w:rsid w:val="002D692E"/>
    <w:rsid w:val="002D757E"/>
    <w:rsid w:val="002D7656"/>
    <w:rsid w:val="002D7BC7"/>
    <w:rsid w:val="002E0080"/>
    <w:rsid w:val="002E2306"/>
    <w:rsid w:val="002E2E28"/>
    <w:rsid w:val="002E363F"/>
    <w:rsid w:val="002E3CF7"/>
    <w:rsid w:val="002E4368"/>
    <w:rsid w:val="002E493A"/>
    <w:rsid w:val="002E6826"/>
    <w:rsid w:val="002F06F5"/>
    <w:rsid w:val="002F09B2"/>
    <w:rsid w:val="002F1028"/>
    <w:rsid w:val="002F1AB1"/>
    <w:rsid w:val="002F212A"/>
    <w:rsid w:val="002F260F"/>
    <w:rsid w:val="002F28A0"/>
    <w:rsid w:val="002F2BA2"/>
    <w:rsid w:val="002F34AB"/>
    <w:rsid w:val="002F3A12"/>
    <w:rsid w:val="002F3DD1"/>
    <w:rsid w:val="002F42CC"/>
    <w:rsid w:val="002F4E87"/>
    <w:rsid w:val="002F5E5F"/>
    <w:rsid w:val="002F6C1F"/>
    <w:rsid w:val="002F713B"/>
    <w:rsid w:val="002F7642"/>
    <w:rsid w:val="00301CBE"/>
    <w:rsid w:val="003022FA"/>
    <w:rsid w:val="00303152"/>
    <w:rsid w:val="0030353A"/>
    <w:rsid w:val="00304460"/>
    <w:rsid w:val="003055F2"/>
    <w:rsid w:val="0030563F"/>
    <w:rsid w:val="00306AF3"/>
    <w:rsid w:val="00307122"/>
    <w:rsid w:val="003071E7"/>
    <w:rsid w:val="0031086A"/>
    <w:rsid w:val="00311996"/>
    <w:rsid w:val="00311C03"/>
    <w:rsid w:val="00311C26"/>
    <w:rsid w:val="00311D0E"/>
    <w:rsid w:val="00311DF0"/>
    <w:rsid w:val="00312203"/>
    <w:rsid w:val="0031379E"/>
    <w:rsid w:val="00313ECB"/>
    <w:rsid w:val="00314185"/>
    <w:rsid w:val="00315C68"/>
    <w:rsid w:val="003175E8"/>
    <w:rsid w:val="003176CF"/>
    <w:rsid w:val="00317EB8"/>
    <w:rsid w:val="00320CC7"/>
    <w:rsid w:val="003217AD"/>
    <w:rsid w:val="00322A6C"/>
    <w:rsid w:val="003235E8"/>
    <w:rsid w:val="00323EB7"/>
    <w:rsid w:val="003250BB"/>
    <w:rsid w:val="003254BF"/>
    <w:rsid w:val="0032607E"/>
    <w:rsid w:val="003278C4"/>
    <w:rsid w:val="0033249E"/>
    <w:rsid w:val="003327EA"/>
    <w:rsid w:val="00333615"/>
    <w:rsid w:val="003338A4"/>
    <w:rsid w:val="00334A99"/>
    <w:rsid w:val="00334AF2"/>
    <w:rsid w:val="00335528"/>
    <w:rsid w:val="00336BE4"/>
    <w:rsid w:val="00337F18"/>
    <w:rsid w:val="00340BED"/>
    <w:rsid w:val="00341124"/>
    <w:rsid w:val="003416A3"/>
    <w:rsid w:val="003421D6"/>
    <w:rsid w:val="0034226E"/>
    <w:rsid w:val="0034243C"/>
    <w:rsid w:val="00343082"/>
    <w:rsid w:val="00343340"/>
    <w:rsid w:val="003436EA"/>
    <w:rsid w:val="00343963"/>
    <w:rsid w:val="00343FD2"/>
    <w:rsid w:val="003442CC"/>
    <w:rsid w:val="00344546"/>
    <w:rsid w:val="0034547C"/>
    <w:rsid w:val="003458CD"/>
    <w:rsid w:val="003462E2"/>
    <w:rsid w:val="003471B7"/>
    <w:rsid w:val="0034759D"/>
    <w:rsid w:val="00350494"/>
    <w:rsid w:val="0035152D"/>
    <w:rsid w:val="003516A4"/>
    <w:rsid w:val="0035247A"/>
    <w:rsid w:val="003525A0"/>
    <w:rsid w:val="00352BDE"/>
    <w:rsid w:val="00353231"/>
    <w:rsid w:val="00353477"/>
    <w:rsid w:val="003543D0"/>
    <w:rsid w:val="003550F4"/>
    <w:rsid w:val="003558E2"/>
    <w:rsid w:val="003559C5"/>
    <w:rsid w:val="0035689A"/>
    <w:rsid w:val="00356B8D"/>
    <w:rsid w:val="00357AB9"/>
    <w:rsid w:val="00357BD8"/>
    <w:rsid w:val="003600BA"/>
    <w:rsid w:val="00360671"/>
    <w:rsid w:val="00360988"/>
    <w:rsid w:val="00361AB8"/>
    <w:rsid w:val="00362C29"/>
    <w:rsid w:val="003636BF"/>
    <w:rsid w:val="00364280"/>
    <w:rsid w:val="00365572"/>
    <w:rsid w:val="00365724"/>
    <w:rsid w:val="003669FE"/>
    <w:rsid w:val="003675E2"/>
    <w:rsid w:val="00370879"/>
    <w:rsid w:val="0037117A"/>
    <w:rsid w:val="003746E5"/>
    <w:rsid w:val="0037481A"/>
    <w:rsid w:val="00375910"/>
    <w:rsid w:val="003759C0"/>
    <w:rsid w:val="00380233"/>
    <w:rsid w:val="00383779"/>
    <w:rsid w:val="003850F4"/>
    <w:rsid w:val="00385B7E"/>
    <w:rsid w:val="003869BA"/>
    <w:rsid w:val="00386A49"/>
    <w:rsid w:val="00390087"/>
    <w:rsid w:val="003900BE"/>
    <w:rsid w:val="003905D6"/>
    <w:rsid w:val="003906B3"/>
    <w:rsid w:val="003918C6"/>
    <w:rsid w:val="00391918"/>
    <w:rsid w:val="0039394C"/>
    <w:rsid w:val="00393FEA"/>
    <w:rsid w:val="00395FC9"/>
    <w:rsid w:val="00396F94"/>
    <w:rsid w:val="003A019E"/>
    <w:rsid w:val="003A01A7"/>
    <w:rsid w:val="003A0416"/>
    <w:rsid w:val="003A076C"/>
    <w:rsid w:val="003A2030"/>
    <w:rsid w:val="003A2B90"/>
    <w:rsid w:val="003A3627"/>
    <w:rsid w:val="003A4C71"/>
    <w:rsid w:val="003A5067"/>
    <w:rsid w:val="003A59FD"/>
    <w:rsid w:val="003A63FD"/>
    <w:rsid w:val="003A760F"/>
    <w:rsid w:val="003A79C0"/>
    <w:rsid w:val="003B0643"/>
    <w:rsid w:val="003B17D3"/>
    <w:rsid w:val="003B1ABF"/>
    <w:rsid w:val="003B242A"/>
    <w:rsid w:val="003B2A9A"/>
    <w:rsid w:val="003B33EF"/>
    <w:rsid w:val="003B395D"/>
    <w:rsid w:val="003B3CDB"/>
    <w:rsid w:val="003B4688"/>
    <w:rsid w:val="003B6E35"/>
    <w:rsid w:val="003C19CD"/>
    <w:rsid w:val="003C1DDA"/>
    <w:rsid w:val="003C1FB3"/>
    <w:rsid w:val="003C3E3E"/>
    <w:rsid w:val="003C567D"/>
    <w:rsid w:val="003C6EB4"/>
    <w:rsid w:val="003C70BF"/>
    <w:rsid w:val="003C7B03"/>
    <w:rsid w:val="003C7D2A"/>
    <w:rsid w:val="003D0F46"/>
    <w:rsid w:val="003D1326"/>
    <w:rsid w:val="003D20B7"/>
    <w:rsid w:val="003D279D"/>
    <w:rsid w:val="003D2B08"/>
    <w:rsid w:val="003D3679"/>
    <w:rsid w:val="003D3C50"/>
    <w:rsid w:val="003D50C4"/>
    <w:rsid w:val="003D5382"/>
    <w:rsid w:val="003D59CA"/>
    <w:rsid w:val="003D7370"/>
    <w:rsid w:val="003D7375"/>
    <w:rsid w:val="003D7F85"/>
    <w:rsid w:val="003E0DAE"/>
    <w:rsid w:val="003E0EA3"/>
    <w:rsid w:val="003E22C8"/>
    <w:rsid w:val="003E3E52"/>
    <w:rsid w:val="003E3FAC"/>
    <w:rsid w:val="003E550B"/>
    <w:rsid w:val="003E6632"/>
    <w:rsid w:val="003E69A4"/>
    <w:rsid w:val="003F182B"/>
    <w:rsid w:val="003F2617"/>
    <w:rsid w:val="003F38CE"/>
    <w:rsid w:val="003F41A1"/>
    <w:rsid w:val="003F4415"/>
    <w:rsid w:val="003F4D18"/>
    <w:rsid w:val="003F5551"/>
    <w:rsid w:val="003F587D"/>
    <w:rsid w:val="003F5CE9"/>
    <w:rsid w:val="003F6BA8"/>
    <w:rsid w:val="003F6C89"/>
    <w:rsid w:val="003F6DC2"/>
    <w:rsid w:val="0040086D"/>
    <w:rsid w:val="00400AD1"/>
    <w:rsid w:val="00401B0A"/>
    <w:rsid w:val="00402574"/>
    <w:rsid w:val="00402B3A"/>
    <w:rsid w:val="004047EF"/>
    <w:rsid w:val="0040484A"/>
    <w:rsid w:val="0040631B"/>
    <w:rsid w:val="00410883"/>
    <w:rsid w:val="004123CC"/>
    <w:rsid w:val="00413C91"/>
    <w:rsid w:val="00414019"/>
    <w:rsid w:val="0041434D"/>
    <w:rsid w:val="004145D2"/>
    <w:rsid w:val="004163F3"/>
    <w:rsid w:val="00416931"/>
    <w:rsid w:val="00416947"/>
    <w:rsid w:val="004204E3"/>
    <w:rsid w:val="00420FFA"/>
    <w:rsid w:val="004215AB"/>
    <w:rsid w:val="004217B3"/>
    <w:rsid w:val="00421EBC"/>
    <w:rsid w:val="004228BB"/>
    <w:rsid w:val="00423889"/>
    <w:rsid w:val="004250B3"/>
    <w:rsid w:val="00425C0C"/>
    <w:rsid w:val="00425C37"/>
    <w:rsid w:val="00426782"/>
    <w:rsid w:val="00426B0B"/>
    <w:rsid w:val="00426C91"/>
    <w:rsid w:val="004275EF"/>
    <w:rsid w:val="0042787D"/>
    <w:rsid w:val="004279DA"/>
    <w:rsid w:val="00427AFC"/>
    <w:rsid w:val="004307E7"/>
    <w:rsid w:val="00432DA1"/>
    <w:rsid w:val="00432DBF"/>
    <w:rsid w:val="004332B3"/>
    <w:rsid w:val="004335DF"/>
    <w:rsid w:val="00434077"/>
    <w:rsid w:val="0043472A"/>
    <w:rsid w:val="004347EA"/>
    <w:rsid w:val="00435E02"/>
    <w:rsid w:val="00436234"/>
    <w:rsid w:val="00436998"/>
    <w:rsid w:val="0043700F"/>
    <w:rsid w:val="004373DF"/>
    <w:rsid w:val="00441D51"/>
    <w:rsid w:val="00441F9B"/>
    <w:rsid w:val="0044249A"/>
    <w:rsid w:val="00442622"/>
    <w:rsid w:val="00442999"/>
    <w:rsid w:val="00442CEB"/>
    <w:rsid w:val="0044379A"/>
    <w:rsid w:val="00443DCE"/>
    <w:rsid w:val="00446113"/>
    <w:rsid w:val="004463B3"/>
    <w:rsid w:val="00446A06"/>
    <w:rsid w:val="004479F4"/>
    <w:rsid w:val="004500F0"/>
    <w:rsid w:val="00451267"/>
    <w:rsid w:val="0045196D"/>
    <w:rsid w:val="00451EDD"/>
    <w:rsid w:val="00455671"/>
    <w:rsid w:val="00455F44"/>
    <w:rsid w:val="00456196"/>
    <w:rsid w:val="00456DAC"/>
    <w:rsid w:val="0045730F"/>
    <w:rsid w:val="0046006E"/>
    <w:rsid w:val="004613AD"/>
    <w:rsid w:val="00461610"/>
    <w:rsid w:val="00461680"/>
    <w:rsid w:val="00461F9C"/>
    <w:rsid w:val="00464283"/>
    <w:rsid w:val="0046584B"/>
    <w:rsid w:val="00465B64"/>
    <w:rsid w:val="00465D77"/>
    <w:rsid w:val="0046721A"/>
    <w:rsid w:val="00470CBC"/>
    <w:rsid w:val="00471B65"/>
    <w:rsid w:val="00474468"/>
    <w:rsid w:val="00475470"/>
    <w:rsid w:val="00476172"/>
    <w:rsid w:val="0047661B"/>
    <w:rsid w:val="00480C95"/>
    <w:rsid w:val="00481FA7"/>
    <w:rsid w:val="00483DC0"/>
    <w:rsid w:val="00485408"/>
    <w:rsid w:val="00485D56"/>
    <w:rsid w:val="00487268"/>
    <w:rsid w:val="004902A7"/>
    <w:rsid w:val="00490AEC"/>
    <w:rsid w:val="004915B7"/>
    <w:rsid w:val="00491DCC"/>
    <w:rsid w:val="0049220D"/>
    <w:rsid w:val="00492262"/>
    <w:rsid w:val="004936EC"/>
    <w:rsid w:val="0049400F"/>
    <w:rsid w:val="004941CB"/>
    <w:rsid w:val="00495C27"/>
    <w:rsid w:val="00496DBA"/>
    <w:rsid w:val="00496FAA"/>
    <w:rsid w:val="00497084"/>
    <w:rsid w:val="00497782"/>
    <w:rsid w:val="004A0EDC"/>
    <w:rsid w:val="004A34D4"/>
    <w:rsid w:val="004A4832"/>
    <w:rsid w:val="004A558A"/>
    <w:rsid w:val="004A6451"/>
    <w:rsid w:val="004A64FF"/>
    <w:rsid w:val="004A65AE"/>
    <w:rsid w:val="004A6814"/>
    <w:rsid w:val="004A7305"/>
    <w:rsid w:val="004A7FAE"/>
    <w:rsid w:val="004B0A0D"/>
    <w:rsid w:val="004B317A"/>
    <w:rsid w:val="004B3F39"/>
    <w:rsid w:val="004B48F2"/>
    <w:rsid w:val="004B4F48"/>
    <w:rsid w:val="004B691D"/>
    <w:rsid w:val="004B6EBC"/>
    <w:rsid w:val="004B78C7"/>
    <w:rsid w:val="004C0B5C"/>
    <w:rsid w:val="004C114F"/>
    <w:rsid w:val="004C1D1F"/>
    <w:rsid w:val="004C2734"/>
    <w:rsid w:val="004C302F"/>
    <w:rsid w:val="004C37AD"/>
    <w:rsid w:val="004C3EDD"/>
    <w:rsid w:val="004C43C8"/>
    <w:rsid w:val="004C7D64"/>
    <w:rsid w:val="004C7DC9"/>
    <w:rsid w:val="004D0232"/>
    <w:rsid w:val="004D037B"/>
    <w:rsid w:val="004D0584"/>
    <w:rsid w:val="004D0E4B"/>
    <w:rsid w:val="004D2121"/>
    <w:rsid w:val="004D23F4"/>
    <w:rsid w:val="004D3554"/>
    <w:rsid w:val="004D3AE3"/>
    <w:rsid w:val="004D447A"/>
    <w:rsid w:val="004D54AD"/>
    <w:rsid w:val="004D58CA"/>
    <w:rsid w:val="004D67B9"/>
    <w:rsid w:val="004D6E51"/>
    <w:rsid w:val="004E01D1"/>
    <w:rsid w:val="004E428A"/>
    <w:rsid w:val="004E5FBE"/>
    <w:rsid w:val="004E6C1F"/>
    <w:rsid w:val="004E7FB8"/>
    <w:rsid w:val="004F0904"/>
    <w:rsid w:val="004F1882"/>
    <w:rsid w:val="004F2A8C"/>
    <w:rsid w:val="004F2C15"/>
    <w:rsid w:val="004F3AAB"/>
    <w:rsid w:val="004F4299"/>
    <w:rsid w:val="004F57FD"/>
    <w:rsid w:val="004F60F3"/>
    <w:rsid w:val="004F7063"/>
    <w:rsid w:val="004F734C"/>
    <w:rsid w:val="004F7736"/>
    <w:rsid w:val="00502D04"/>
    <w:rsid w:val="00502DBE"/>
    <w:rsid w:val="00503AEC"/>
    <w:rsid w:val="00504A5E"/>
    <w:rsid w:val="00504E09"/>
    <w:rsid w:val="00510A31"/>
    <w:rsid w:val="00511DDE"/>
    <w:rsid w:val="00512A45"/>
    <w:rsid w:val="0051387B"/>
    <w:rsid w:val="00514052"/>
    <w:rsid w:val="00515011"/>
    <w:rsid w:val="00515221"/>
    <w:rsid w:val="00515A3B"/>
    <w:rsid w:val="00516789"/>
    <w:rsid w:val="00517B0C"/>
    <w:rsid w:val="00517CF0"/>
    <w:rsid w:val="00517E59"/>
    <w:rsid w:val="005218C9"/>
    <w:rsid w:val="005225C9"/>
    <w:rsid w:val="00523B19"/>
    <w:rsid w:val="00524702"/>
    <w:rsid w:val="00524CED"/>
    <w:rsid w:val="00527789"/>
    <w:rsid w:val="00527A4E"/>
    <w:rsid w:val="0053141C"/>
    <w:rsid w:val="00531BF6"/>
    <w:rsid w:val="00532025"/>
    <w:rsid w:val="00532CA7"/>
    <w:rsid w:val="0053343C"/>
    <w:rsid w:val="005338E7"/>
    <w:rsid w:val="00533A15"/>
    <w:rsid w:val="00534961"/>
    <w:rsid w:val="00534E6C"/>
    <w:rsid w:val="00535689"/>
    <w:rsid w:val="00536ADE"/>
    <w:rsid w:val="00536D64"/>
    <w:rsid w:val="00536F32"/>
    <w:rsid w:val="00537999"/>
    <w:rsid w:val="00537F94"/>
    <w:rsid w:val="00540BA5"/>
    <w:rsid w:val="00540C31"/>
    <w:rsid w:val="00541A82"/>
    <w:rsid w:val="005427D1"/>
    <w:rsid w:val="0054356D"/>
    <w:rsid w:val="00543CDD"/>
    <w:rsid w:val="00545922"/>
    <w:rsid w:val="00545E7B"/>
    <w:rsid w:val="00545EE2"/>
    <w:rsid w:val="00546457"/>
    <w:rsid w:val="00546941"/>
    <w:rsid w:val="00546C33"/>
    <w:rsid w:val="00547534"/>
    <w:rsid w:val="00547D48"/>
    <w:rsid w:val="00547E2E"/>
    <w:rsid w:val="0055086E"/>
    <w:rsid w:val="00551547"/>
    <w:rsid w:val="00551657"/>
    <w:rsid w:val="00551B60"/>
    <w:rsid w:val="00552470"/>
    <w:rsid w:val="0055274C"/>
    <w:rsid w:val="005529B0"/>
    <w:rsid w:val="00552A46"/>
    <w:rsid w:val="00553090"/>
    <w:rsid w:val="00554C3A"/>
    <w:rsid w:val="00555A74"/>
    <w:rsid w:val="00555F9B"/>
    <w:rsid w:val="005569BD"/>
    <w:rsid w:val="005572AC"/>
    <w:rsid w:val="005574FE"/>
    <w:rsid w:val="00557F56"/>
    <w:rsid w:val="00561BE9"/>
    <w:rsid w:val="00561D25"/>
    <w:rsid w:val="00562F00"/>
    <w:rsid w:val="00563892"/>
    <w:rsid w:val="00563E14"/>
    <w:rsid w:val="005649A0"/>
    <w:rsid w:val="00564A20"/>
    <w:rsid w:val="00564A29"/>
    <w:rsid w:val="00564D65"/>
    <w:rsid w:val="00565A22"/>
    <w:rsid w:val="00565D4D"/>
    <w:rsid w:val="0056730D"/>
    <w:rsid w:val="0056756B"/>
    <w:rsid w:val="005704B2"/>
    <w:rsid w:val="00570D85"/>
    <w:rsid w:val="0057121A"/>
    <w:rsid w:val="00571D2A"/>
    <w:rsid w:val="00572F62"/>
    <w:rsid w:val="00574F54"/>
    <w:rsid w:val="005752BB"/>
    <w:rsid w:val="00576CA0"/>
    <w:rsid w:val="00577AC1"/>
    <w:rsid w:val="00580605"/>
    <w:rsid w:val="00580811"/>
    <w:rsid w:val="005828F2"/>
    <w:rsid w:val="00582B3D"/>
    <w:rsid w:val="00586050"/>
    <w:rsid w:val="005909BB"/>
    <w:rsid w:val="00590ADA"/>
    <w:rsid w:val="00591740"/>
    <w:rsid w:val="00593D65"/>
    <w:rsid w:val="0059442C"/>
    <w:rsid w:val="005952E2"/>
    <w:rsid w:val="00595938"/>
    <w:rsid w:val="005969E2"/>
    <w:rsid w:val="00597C22"/>
    <w:rsid w:val="00597D51"/>
    <w:rsid w:val="005A16DA"/>
    <w:rsid w:val="005A1E08"/>
    <w:rsid w:val="005A240A"/>
    <w:rsid w:val="005A2CC2"/>
    <w:rsid w:val="005A2EE5"/>
    <w:rsid w:val="005A35C5"/>
    <w:rsid w:val="005A59BF"/>
    <w:rsid w:val="005A6A16"/>
    <w:rsid w:val="005A6B6B"/>
    <w:rsid w:val="005B050D"/>
    <w:rsid w:val="005B06E6"/>
    <w:rsid w:val="005B094F"/>
    <w:rsid w:val="005B161A"/>
    <w:rsid w:val="005B196C"/>
    <w:rsid w:val="005B2267"/>
    <w:rsid w:val="005B2273"/>
    <w:rsid w:val="005B23B0"/>
    <w:rsid w:val="005B25E2"/>
    <w:rsid w:val="005B2B9D"/>
    <w:rsid w:val="005B4872"/>
    <w:rsid w:val="005B5227"/>
    <w:rsid w:val="005B5ED2"/>
    <w:rsid w:val="005B7404"/>
    <w:rsid w:val="005C0A72"/>
    <w:rsid w:val="005C12C0"/>
    <w:rsid w:val="005C33E5"/>
    <w:rsid w:val="005C3454"/>
    <w:rsid w:val="005C59AF"/>
    <w:rsid w:val="005C7F83"/>
    <w:rsid w:val="005D075B"/>
    <w:rsid w:val="005D29D5"/>
    <w:rsid w:val="005D493A"/>
    <w:rsid w:val="005D4975"/>
    <w:rsid w:val="005D6640"/>
    <w:rsid w:val="005D6709"/>
    <w:rsid w:val="005D6817"/>
    <w:rsid w:val="005D6ED8"/>
    <w:rsid w:val="005D6F59"/>
    <w:rsid w:val="005D7D45"/>
    <w:rsid w:val="005E0059"/>
    <w:rsid w:val="005E0A6D"/>
    <w:rsid w:val="005E0D70"/>
    <w:rsid w:val="005E0E27"/>
    <w:rsid w:val="005E1E1B"/>
    <w:rsid w:val="005E2C15"/>
    <w:rsid w:val="005E2C4D"/>
    <w:rsid w:val="005E2F01"/>
    <w:rsid w:val="005E6770"/>
    <w:rsid w:val="005E6BE3"/>
    <w:rsid w:val="005E7053"/>
    <w:rsid w:val="005E786C"/>
    <w:rsid w:val="005F012E"/>
    <w:rsid w:val="005F16BE"/>
    <w:rsid w:val="005F3B00"/>
    <w:rsid w:val="005F3B64"/>
    <w:rsid w:val="005F4AD4"/>
    <w:rsid w:val="005F4DCA"/>
    <w:rsid w:val="005F5AE9"/>
    <w:rsid w:val="005F72EC"/>
    <w:rsid w:val="005F770D"/>
    <w:rsid w:val="005F7D99"/>
    <w:rsid w:val="00600A82"/>
    <w:rsid w:val="00601B09"/>
    <w:rsid w:val="00601B4A"/>
    <w:rsid w:val="00603136"/>
    <w:rsid w:val="0060328B"/>
    <w:rsid w:val="00603453"/>
    <w:rsid w:val="00603E02"/>
    <w:rsid w:val="00603E81"/>
    <w:rsid w:val="0060443C"/>
    <w:rsid w:val="00604E57"/>
    <w:rsid w:val="006052E9"/>
    <w:rsid w:val="0060533F"/>
    <w:rsid w:val="00605623"/>
    <w:rsid w:val="006073AB"/>
    <w:rsid w:val="00611C73"/>
    <w:rsid w:val="00612E42"/>
    <w:rsid w:val="00615160"/>
    <w:rsid w:val="0061516B"/>
    <w:rsid w:val="0061719A"/>
    <w:rsid w:val="006175E4"/>
    <w:rsid w:val="00621C2F"/>
    <w:rsid w:val="006231B8"/>
    <w:rsid w:val="00623414"/>
    <w:rsid w:val="00623FD8"/>
    <w:rsid w:val="006263D5"/>
    <w:rsid w:val="0062712C"/>
    <w:rsid w:val="00627A66"/>
    <w:rsid w:val="0063024A"/>
    <w:rsid w:val="006305BD"/>
    <w:rsid w:val="00631C57"/>
    <w:rsid w:val="00631EBD"/>
    <w:rsid w:val="00631F1D"/>
    <w:rsid w:val="00633672"/>
    <w:rsid w:val="00633F25"/>
    <w:rsid w:val="00633FA0"/>
    <w:rsid w:val="00635F7B"/>
    <w:rsid w:val="006364FE"/>
    <w:rsid w:val="00636646"/>
    <w:rsid w:val="006371F0"/>
    <w:rsid w:val="006374E9"/>
    <w:rsid w:val="006377A0"/>
    <w:rsid w:val="006401E4"/>
    <w:rsid w:val="006422F9"/>
    <w:rsid w:val="006431F7"/>
    <w:rsid w:val="006438A5"/>
    <w:rsid w:val="00644305"/>
    <w:rsid w:val="006443E9"/>
    <w:rsid w:val="00645638"/>
    <w:rsid w:val="00646751"/>
    <w:rsid w:val="00647543"/>
    <w:rsid w:val="00647A53"/>
    <w:rsid w:val="00650004"/>
    <w:rsid w:val="0065033A"/>
    <w:rsid w:val="00650393"/>
    <w:rsid w:val="00650779"/>
    <w:rsid w:val="0065163B"/>
    <w:rsid w:val="0065177F"/>
    <w:rsid w:val="00651BFA"/>
    <w:rsid w:val="006530D6"/>
    <w:rsid w:val="0065598F"/>
    <w:rsid w:val="006568AB"/>
    <w:rsid w:val="00656BB6"/>
    <w:rsid w:val="00656BCF"/>
    <w:rsid w:val="00657792"/>
    <w:rsid w:val="00657EBA"/>
    <w:rsid w:val="00661877"/>
    <w:rsid w:val="00662156"/>
    <w:rsid w:val="006625DB"/>
    <w:rsid w:val="00662847"/>
    <w:rsid w:val="006629A5"/>
    <w:rsid w:val="006629EC"/>
    <w:rsid w:val="00662A18"/>
    <w:rsid w:val="00663CB5"/>
    <w:rsid w:val="00664301"/>
    <w:rsid w:val="00664620"/>
    <w:rsid w:val="00664AF9"/>
    <w:rsid w:val="00664D82"/>
    <w:rsid w:val="0066513F"/>
    <w:rsid w:val="00667ABD"/>
    <w:rsid w:val="00667DAC"/>
    <w:rsid w:val="00670203"/>
    <w:rsid w:val="00670C64"/>
    <w:rsid w:val="00670CEE"/>
    <w:rsid w:val="00670CF0"/>
    <w:rsid w:val="00671724"/>
    <w:rsid w:val="00671F6B"/>
    <w:rsid w:val="006729EF"/>
    <w:rsid w:val="006734C9"/>
    <w:rsid w:val="006737A8"/>
    <w:rsid w:val="0067564E"/>
    <w:rsid w:val="00675FB5"/>
    <w:rsid w:val="00675FD4"/>
    <w:rsid w:val="00676F02"/>
    <w:rsid w:val="00677023"/>
    <w:rsid w:val="00680C38"/>
    <w:rsid w:val="00681F45"/>
    <w:rsid w:val="00682E6B"/>
    <w:rsid w:val="006832DB"/>
    <w:rsid w:val="00683E70"/>
    <w:rsid w:val="00684AFF"/>
    <w:rsid w:val="00686525"/>
    <w:rsid w:val="00687299"/>
    <w:rsid w:val="00687330"/>
    <w:rsid w:val="006901AB"/>
    <w:rsid w:val="006901EF"/>
    <w:rsid w:val="00690E5B"/>
    <w:rsid w:val="00691750"/>
    <w:rsid w:val="0069204A"/>
    <w:rsid w:val="00693561"/>
    <w:rsid w:val="0069382E"/>
    <w:rsid w:val="00693A64"/>
    <w:rsid w:val="006947AA"/>
    <w:rsid w:val="006949F9"/>
    <w:rsid w:val="00696834"/>
    <w:rsid w:val="00697233"/>
    <w:rsid w:val="006975C4"/>
    <w:rsid w:val="006977A4"/>
    <w:rsid w:val="006A03BF"/>
    <w:rsid w:val="006A06D8"/>
    <w:rsid w:val="006A133E"/>
    <w:rsid w:val="006A1DD8"/>
    <w:rsid w:val="006A275E"/>
    <w:rsid w:val="006A2FA2"/>
    <w:rsid w:val="006A6324"/>
    <w:rsid w:val="006A6BF5"/>
    <w:rsid w:val="006B04DB"/>
    <w:rsid w:val="006B0CA9"/>
    <w:rsid w:val="006B135B"/>
    <w:rsid w:val="006B19A3"/>
    <w:rsid w:val="006B22EB"/>
    <w:rsid w:val="006B29E7"/>
    <w:rsid w:val="006B3105"/>
    <w:rsid w:val="006B33C0"/>
    <w:rsid w:val="006B391B"/>
    <w:rsid w:val="006B46A4"/>
    <w:rsid w:val="006B4B5A"/>
    <w:rsid w:val="006B4F8E"/>
    <w:rsid w:val="006B504A"/>
    <w:rsid w:val="006B5532"/>
    <w:rsid w:val="006B6677"/>
    <w:rsid w:val="006C07EF"/>
    <w:rsid w:val="006C0BE1"/>
    <w:rsid w:val="006C149D"/>
    <w:rsid w:val="006C58A4"/>
    <w:rsid w:val="006C61B8"/>
    <w:rsid w:val="006C6D03"/>
    <w:rsid w:val="006C743A"/>
    <w:rsid w:val="006C7CC5"/>
    <w:rsid w:val="006D01A9"/>
    <w:rsid w:val="006D17A2"/>
    <w:rsid w:val="006D1C13"/>
    <w:rsid w:val="006D229B"/>
    <w:rsid w:val="006D2325"/>
    <w:rsid w:val="006D27FF"/>
    <w:rsid w:val="006D340C"/>
    <w:rsid w:val="006D3C13"/>
    <w:rsid w:val="006D632C"/>
    <w:rsid w:val="006D6F25"/>
    <w:rsid w:val="006E0B89"/>
    <w:rsid w:val="006E123F"/>
    <w:rsid w:val="006E3781"/>
    <w:rsid w:val="006E4004"/>
    <w:rsid w:val="006E4684"/>
    <w:rsid w:val="006E6022"/>
    <w:rsid w:val="006E64DA"/>
    <w:rsid w:val="006F0235"/>
    <w:rsid w:val="006F0EB4"/>
    <w:rsid w:val="006F1F19"/>
    <w:rsid w:val="006F2B61"/>
    <w:rsid w:val="006F2F2C"/>
    <w:rsid w:val="006F3D84"/>
    <w:rsid w:val="006F43BE"/>
    <w:rsid w:val="006F4527"/>
    <w:rsid w:val="006F5876"/>
    <w:rsid w:val="006F5FD2"/>
    <w:rsid w:val="006F6A8D"/>
    <w:rsid w:val="006F7D37"/>
    <w:rsid w:val="006F7D9B"/>
    <w:rsid w:val="00701AE9"/>
    <w:rsid w:val="0070253D"/>
    <w:rsid w:val="00702BF6"/>
    <w:rsid w:val="00704C26"/>
    <w:rsid w:val="00706B8F"/>
    <w:rsid w:val="00710422"/>
    <w:rsid w:val="007106D0"/>
    <w:rsid w:val="00710704"/>
    <w:rsid w:val="007115BD"/>
    <w:rsid w:val="00711BFF"/>
    <w:rsid w:val="00712037"/>
    <w:rsid w:val="00713E84"/>
    <w:rsid w:val="00714030"/>
    <w:rsid w:val="00714D7A"/>
    <w:rsid w:val="00715ED5"/>
    <w:rsid w:val="0071623B"/>
    <w:rsid w:val="00716834"/>
    <w:rsid w:val="00720431"/>
    <w:rsid w:val="00720601"/>
    <w:rsid w:val="0072065B"/>
    <w:rsid w:val="007208A5"/>
    <w:rsid w:val="007212E9"/>
    <w:rsid w:val="007221A7"/>
    <w:rsid w:val="00722B89"/>
    <w:rsid w:val="00723ED5"/>
    <w:rsid w:val="00724011"/>
    <w:rsid w:val="007250C1"/>
    <w:rsid w:val="00726A0C"/>
    <w:rsid w:val="007273D6"/>
    <w:rsid w:val="0072765B"/>
    <w:rsid w:val="007276AF"/>
    <w:rsid w:val="00730273"/>
    <w:rsid w:val="00730400"/>
    <w:rsid w:val="00731530"/>
    <w:rsid w:val="00732688"/>
    <w:rsid w:val="00733384"/>
    <w:rsid w:val="00736417"/>
    <w:rsid w:val="00736DAA"/>
    <w:rsid w:val="00740BD9"/>
    <w:rsid w:val="00740E35"/>
    <w:rsid w:val="00741E5B"/>
    <w:rsid w:val="00742CFA"/>
    <w:rsid w:val="0074366A"/>
    <w:rsid w:val="0074407F"/>
    <w:rsid w:val="0074431D"/>
    <w:rsid w:val="00745896"/>
    <w:rsid w:val="00745991"/>
    <w:rsid w:val="00745C3A"/>
    <w:rsid w:val="007475A8"/>
    <w:rsid w:val="007475EC"/>
    <w:rsid w:val="007477D4"/>
    <w:rsid w:val="0075008A"/>
    <w:rsid w:val="00750101"/>
    <w:rsid w:val="00750EBD"/>
    <w:rsid w:val="0075141E"/>
    <w:rsid w:val="007531D1"/>
    <w:rsid w:val="00753414"/>
    <w:rsid w:val="00753558"/>
    <w:rsid w:val="00755208"/>
    <w:rsid w:val="0075633F"/>
    <w:rsid w:val="007567E2"/>
    <w:rsid w:val="00756BC7"/>
    <w:rsid w:val="0076030E"/>
    <w:rsid w:val="007609D4"/>
    <w:rsid w:val="00760E05"/>
    <w:rsid w:val="00761C37"/>
    <w:rsid w:val="00762AE8"/>
    <w:rsid w:val="0076313A"/>
    <w:rsid w:val="007636B9"/>
    <w:rsid w:val="00764B45"/>
    <w:rsid w:val="0076510C"/>
    <w:rsid w:val="00766057"/>
    <w:rsid w:val="007674E5"/>
    <w:rsid w:val="007679D3"/>
    <w:rsid w:val="00767D80"/>
    <w:rsid w:val="00770BB6"/>
    <w:rsid w:val="00771813"/>
    <w:rsid w:val="007730C0"/>
    <w:rsid w:val="00773191"/>
    <w:rsid w:val="007733AD"/>
    <w:rsid w:val="00775E1A"/>
    <w:rsid w:val="00775F93"/>
    <w:rsid w:val="0077601F"/>
    <w:rsid w:val="007760FA"/>
    <w:rsid w:val="0078134F"/>
    <w:rsid w:val="007830EE"/>
    <w:rsid w:val="00783842"/>
    <w:rsid w:val="007840FA"/>
    <w:rsid w:val="00784B2E"/>
    <w:rsid w:val="00785C69"/>
    <w:rsid w:val="0078752A"/>
    <w:rsid w:val="00790231"/>
    <w:rsid w:val="00790DD4"/>
    <w:rsid w:val="00790DFA"/>
    <w:rsid w:val="00791164"/>
    <w:rsid w:val="00791B5B"/>
    <w:rsid w:val="00791E47"/>
    <w:rsid w:val="00793066"/>
    <w:rsid w:val="0079368C"/>
    <w:rsid w:val="00793E64"/>
    <w:rsid w:val="00794CC7"/>
    <w:rsid w:val="00794CF2"/>
    <w:rsid w:val="007962DF"/>
    <w:rsid w:val="00796650"/>
    <w:rsid w:val="00796E28"/>
    <w:rsid w:val="00797CCD"/>
    <w:rsid w:val="007A074B"/>
    <w:rsid w:val="007A0BBF"/>
    <w:rsid w:val="007A0F93"/>
    <w:rsid w:val="007A1161"/>
    <w:rsid w:val="007A125A"/>
    <w:rsid w:val="007A2249"/>
    <w:rsid w:val="007A3DFE"/>
    <w:rsid w:val="007A45E0"/>
    <w:rsid w:val="007A5B89"/>
    <w:rsid w:val="007A6CAA"/>
    <w:rsid w:val="007A7973"/>
    <w:rsid w:val="007B33BF"/>
    <w:rsid w:val="007B3EDE"/>
    <w:rsid w:val="007B45FA"/>
    <w:rsid w:val="007B49F3"/>
    <w:rsid w:val="007B562A"/>
    <w:rsid w:val="007B5CFA"/>
    <w:rsid w:val="007B6744"/>
    <w:rsid w:val="007B6C24"/>
    <w:rsid w:val="007B7848"/>
    <w:rsid w:val="007C0441"/>
    <w:rsid w:val="007C1899"/>
    <w:rsid w:val="007C1D34"/>
    <w:rsid w:val="007C3079"/>
    <w:rsid w:val="007C4A91"/>
    <w:rsid w:val="007C5CCA"/>
    <w:rsid w:val="007C6F6D"/>
    <w:rsid w:val="007D0981"/>
    <w:rsid w:val="007D2653"/>
    <w:rsid w:val="007D2D91"/>
    <w:rsid w:val="007D47DA"/>
    <w:rsid w:val="007D4BC3"/>
    <w:rsid w:val="007D55D7"/>
    <w:rsid w:val="007D5ECF"/>
    <w:rsid w:val="007D7E8F"/>
    <w:rsid w:val="007E0A93"/>
    <w:rsid w:val="007E0DC5"/>
    <w:rsid w:val="007E1C1F"/>
    <w:rsid w:val="007E2E84"/>
    <w:rsid w:val="007E3B2C"/>
    <w:rsid w:val="007E4CEA"/>
    <w:rsid w:val="007E5035"/>
    <w:rsid w:val="007E5C81"/>
    <w:rsid w:val="007E73E1"/>
    <w:rsid w:val="007E7F13"/>
    <w:rsid w:val="007F01D7"/>
    <w:rsid w:val="007F272A"/>
    <w:rsid w:val="007F2959"/>
    <w:rsid w:val="007F78E7"/>
    <w:rsid w:val="00801D2A"/>
    <w:rsid w:val="00801ED6"/>
    <w:rsid w:val="00802BB1"/>
    <w:rsid w:val="00802E29"/>
    <w:rsid w:val="008036F5"/>
    <w:rsid w:val="00803CBA"/>
    <w:rsid w:val="00804827"/>
    <w:rsid w:val="00805039"/>
    <w:rsid w:val="00805181"/>
    <w:rsid w:val="008059FA"/>
    <w:rsid w:val="0080652D"/>
    <w:rsid w:val="00810533"/>
    <w:rsid w:val="008108D9"/>
    <w:rsid w:val="0081416A"/>
    <w:rsid w:val="00814470"/>
    <w:rsid w:val="00814552"/>
    <w:rsid w:val="008149BD"/>
    <w:rsid w:val="00814EEB"/>
    <w:rsid w:val="008154D4"/>
    <w:rsid w:val="00815CCE"/>
    <w:rsid w:val="0081609D"/>
    <w:rsid w:val="008165D3"/>
    <w:rsid w:val="00816D60"/>
    <w:rsid w:val="00817E5C"/>
    <w:rsid w:val="00824061"/>
    <w:rsid w:val="00824AD0"/>
    <w:rsid w:val="0082566D"/>
    <w:rsid w:val="00826016"/>
    <w:rsid w:val="00827B3A"/>
    <w:rsid w:val="00827D6B"/>
    <w:rsid w:val="0083108C"/>
    <w:rsid w:val="00831811"/>
    <w:rsid w:val="0083285D"/>
    <w:rsid w:val="00832964"/>
    <w:rsid w:val="00832D5A"/>
    <w:rsid w:val="00833364"/>
    <w:rsid w:val="008343C1"/>
    <w:rsid w:val="00834A8B"/>
    <w:rsid w:val="00835B2D"/>
    <w:rsid w:val="00835E8C"/>
    <w:rsid w:val="00836C35"/>
    <w:rsid w:val="00836C53"/>
    <w:rsid w:val="00837FD4"/>
    <w:rsid w:val="00840C52"/>
    <w:rsid w:val="00840E7D"/>
    <w:rsid w:val="00841435"/>
    <w:rsid w:val="008414C3"/>
    <w:rsid w:val="008416AA"/>
    <w:rsid w:val="008418B5"/>
    <w:rsid w:val="00841EB3"/>
    <w:rsid w:val="008441F7"/>
    <w:rsid w:val="00844720"/>
    <w:rsid w:val="0084551D"/>
    <w:rsid w:val="00846061"/>
    <w:rsid w:val="008474B2"/>
    <w:rsid w:val="0084777F"/>
    <w:rsid w:val="008478CB"/>
    <w:rsid w:val="00847E23"/>
    <w:rsid w:val="00852FC5"/>
    <w:rsid w:val="0085404C"/>
    <w:rsid w:val="008551BD"/>
    <w:rsid w:val="0085542E"/>
    <w:rsid w:val="008564F3"/>
    <w:rsid w:val="00857A6F"/>
    <w:rsid w:val="00857B9A"/>
    <w:rsid w:val="00860DF4"/>
    <w:rsid w:val="008616DE"/>
    <w:rsid w:val="00862810"/>
    <w:rsid w:val="00862A71"/>
    <w:rsid w:val="00862D07"/>
    <w:rsid w:val="00865102"/>
    <w:rsid w:val="0086738B"/>
    <w:rsid w:val="00871D82"/>
    <w:rsid w:val="00873888"/>
    <w:rsid w:val="00874C72"/>
    <w:rsid w:val="008758CD"/>
    <w:rsid w:val="008764BB"/>
    <w:rsid w:val="00876BC6"/>
    <w:rsid w:val="0087791A"/>
    <w:rsid w:val="00880A66"/>
    <w:rsid w:val="008814D8"/>
    <w:rsid w:val="00883AB1"/>
    <w:rsid w:val="00884446"/>
    <w:rsid w:val="008845FB"/>
    <w:rsid w:val="0088467E"/>
    <w:rsid w:val="0088508A"/>
    <w:rsid w:val="00885543"/>
    <w:rsid w:val="0088558A"/>
    <w:rsid w:val="008858EA"/>
    <w:rsid w:val="00885B8F"/>
    <w:rsid w:val="0088744F"/>
    <w:rsid w:val="008877C7"/>
    <w:rsid w:val="00892541"/>
    <w:rsid w:val="008929B1"/>
    <w:rsid w:val="00892A9A"/>
    <w:rsid w:val="0089351D"/>
    <w:rsid w:val="008938AA"/>
    <w:rsid w:val="008939C2"/>
    <w:rsid w:val="00894CC2"/>
    <w:rsid w:val="00896A08"/>
    <w:rsid w:val="0089792B"/>
    <w:rsid w:val="00897FF6"/>
    <w:rsid w:val="008A05E7"/>
    <w:rsid w:val="008A0B1A"/>
    <w:rsid w:val="008A1658"/>
    <w:rsid w:val="008A2571"/>
    <w:rsid w:val="008A413B"/>
    <w:rsid w:val="008A4445"/>
    <w:rsid w:val="008A4B60"/>
    <w:rsid w:val="008A6E52"/>
    <w:rsid w:val="008A7106"/>
    <w:rsid w:val="008A724C"/>
    <w:rsid w:val="008B0AE1"/>
    <w:rsid w:val="008B0BF6"/>
    <w:rsid w:val="008B1C41"/>
    <w:rsid w:val="008B236C"/>
    <w:rsid w:val="008B2379"/>
    <w:rsid w:val="008B2B29"/>
    <w:rsid w:val="008B320C"/>
    <w:rsid w:val="008B3EFD"/>
    <w:rsid w:val="008C15DC"/>
    <w:rsid w:val="008C1779"/>
    <w:rsid w:val="008C2BE6"/>
    <w:rsid w:val="008C3305"/>
    <w:rsid w:val="008C349D"/>
    <w:rsid w:val="008C3A7B"/>
    <w:rsid w:val="008C5E83"/>
    <w:rsid w:val="008C6533"/>
    <w:rsid w:val="008C70B6"/>
    <w:rsid w:val="008C7AC1"/>
    <w:rsid w:val="008D00A6"/>
    <w:rsid w:val="008D113B"/>
    <w:rsid w:val="008D15AE"/>
    <w:rsid w:val="008D2942"/>
    <w:rsid w:val="008D2DE5"/>
    <w:rsid w:val="008D3312"/>
    <w:rsid w:val="008D394E"/>
    <w:rsid w:val="008D3EA3"/>
    <w:rsid w:val="008D577F"/>
    <w:rsid w:val="008D6981"/>
    <w:rsid w:val="008D6C79"/>
    <w:rsid w:val="008E14C6"/>
    <w:rsid w:val="008E2A24"/>
    <w:rsid w:val="008E3A4E"/>
    <w:rsid w:val="008E3D7F"/>
    <w:rsid w:val="008E3DBB"/>
    <w:rsid w:val="008E416B"/>
    <w:rsid w:val="008E48FD"/>
    <w:rsid w:val="008E56BA"/>
    <w:rsid w:val="008E588B"/>
    <w:rsid w:val="008F0B22"/>
    <w:rsid w:val="008F19A4"/>
    <w:rsid w:val="008F2C02"/>
    <w:rsid w:val="008F4DB1"/>
    <w:rsid w:val="008F503F"/>
    <w:rsid w:val="008F5667"/>
    <w:rsid w:val="008F56FC"/>
    <w:rsid w:val="008F5ADE"/>
    <w:rsid w:val="008F5EF5"/>
    <w:rsid w:val="0090285E"/>
    <w:rsid w:val="00902872"/>
    <w:rsid w:val="00902F59"/>
    <w:rsid w:val="009032A4"/>
    <w:rsid w:val="00903772"/>
    <w:rsid w:val="00905C60"/>
    <w:rsid w:val="0090682D"/>
    <w:rsid w:val="00907CDC"/>
    <w:rsid w:val="00907D34"/>
    <w:rsid w:val="009101F0"/>
    <w:rsid w:val="00911C53"/>
    <w:rsid w:val="00912534"/>
    <w:rsid w:val="009125AB"/>
    <w:rsid w:val="009130C5"/>
    <w:rsid w:val="0091338F"/>
    <w:rsid w:val="009135BB"/>
    <w:rsid w:val="009135FE"/>
    <w:rsid w:val="00913A90"/>
    <w:rsid w:val="009147A8"/>
    <w:rsid w:val="00914B52"/>
    <w:rsid w:val="00916CF8"/>
    <w:rsid w:val="00917551"/>
    <w:rsid w:val="00917C59"/>
    <w:rsid w:val="00920ACF"/>
    <w:rsid w:val="00921112"/>
    <w:rsid w:val="00921FE5"/>
    <w:rsid w:val="0092205B"/>
    <w:rsid w:val="00924B03"/>
    <w:rsid w:val="009269B0"/>
    <w:rsid w:val="0092732C"/>
    <w:rsid w:val="00927626"/>
    <w:rsid w:val="0093004E"/>
    <w:rsid w:val="009306FD"/>
    <w:rsid w:val="00930B47"/>
    <w:rsid w:val="00931637"/>
    <w:rsid w:val="00932E7B"/>
    <w:rsid w:val="0093346F"/>
    <w:rsid w:val="00933532"/>
    <w:rsid w:val="00933B53"/>
    <w:rsid w:val="0093401D"/>
    <w:rsid w:val="00934666"/>
    <w:rsid w:val="0093622E"/>
    <w:rsid w:val="00937395"/>
    <w:rsid w:val="00937892"/>
    <w:rsid w:val="00937A81"/>
    <w:rsid w:val="00940B77"/>
    <w:rsid w:val="0094153B"/>
    <w:rsid w:val="00942519"/>
    <w:rsid w:val="009425B8"/>
    <w:rsid w:val="009437B0"/>
    <w:rsid w:val="00943815"/>
    <w:rsid w:val="00945F9C"/>
    <w:rsid w:val="00947393"/>
    <w:rsid w:val="00947468"/>
    <w:rsid w:val="00947513"/>
    <w:rsid w:val="009510AD"/>
    <w:rsid w:val="009511C7"/>
    <w:rsid w:val="00951B19"/>
    <w:rsid w:val="00951D01"/>
    <w:rsid w:val="009520FF"/>
    <w:rsid w:val="00952398"/>
    <w:rsid w:val="00952F3D"/>
    <w:rsid w:val="009532F3"/>
    <w:rsid w:val="00953A59"/>
    <w:rsid w:val="0095467F"/>
    <w:rsid w:val="00955133"/>
    <w:rsid w:val="00955565"/>
    <w:rsid w:val="00956A86"/>
    <w:rsid w:val="009571FB"/>
    <w:rsid w:val="009572FB"/>
    <w:rsid w:val="00960DA4"/>
    <w:rsid w:val="009617F8"/>
    <w:rsid w:val="00962F78"/>
    <w:rsid w:val="0096327F"/>
    <w:rsid w:val="009633A5"/>
    <w:rsid w:val="00965119"/>
    <w:rsid w:val="00966083"/>
    <w:rsid w:val="0096675D"/>
    <w:rsid w:val="0096732A"/>
    <w:rsid w:val="00967409"/>
    <w:rsid w:val="0096777C"/>
    <w:rsid w:val="00970109"/>
    <w:rsid w:val="00970EB9"/>
    <w:rsid w:val="009713B8"/>
    <w:rsid w:val="0097165A"/>
    <w:rsid w:val="00971A9D"/>
    <w:rsid w:val="00972094"/>
    <w:rsid w:val="0097273E"/>
    <w:rsid w:val="00972781"/>
    <w:rsid w:val="00973220"/>
    <w:rsid w:val="009737AA"/>
    <w:rsid w:val="00974988"/>
    <w:rsid w:val="00975CA4"/>
    <w:rsid w:val="00976D93"/>
    <w:rsid w:val="00977043"/>
    <w:rsid w:val="0097731E"/>
    <w:rsid w:val="00977A00"/>
    <w:rsid w:val="0098007B"/>
    <w:rsid w:val="00981565"/>
    <w:rsid w:val="00981684"/>
    <w:rsid w:val="0098197A"/>
    <w:rsid w:val="00981D69"/>
    <w:rsid w:val="00982323"/>
    <w:rsid w:val="0098237A"/>
    <w:rsid w:val="00982738"/>
    <w:rsid w:val="0098297A"/>
    <w:rsid w:val="00982B40"/>
    <w:rsid w:val="00982BC4"/>
    <w:rsid w:val="00983D55"/>
    <w:rsid w:val="009867DC"/>
    <w:rsid w:val="0098690C"/>
    <w:rsid w:val="00990A90"/>
    <w:rsid w:val="00991A72"/>
    <w:rsid w:val="00991EB6"/>
    <w:rsid w:val="00992842"/>
    <w:rsid w:val="00992BF9"/>
    <w:rsid w:val="009931E3"/>
    <w:rsid w:val="0099340A"/>
    <w:rsid w:val="009936E3"/>
    <w:rsid w:val="009946B8"/>
    <w:rsid w:val="00994BEF"/>
    <w:rsid w:val="00995DCA"/>
    <w:rsid w:val="0099630E"/>
    <w:rsid w:val="0099761D"/>
    <w:rsid w:val="009976A1"/>
    <w:rsid w:val="009976F8"/>
    <w:rsid w:val="00997B53"/>
    <w:rsid w:val="009A180B"/>
    <w:rsid w:val="009A1E94"/>
    <w:rsid w:val="009A21DD"/>
    <w:rsid w:val="009A252E"/>
    <w:rsid w:val="009A6275"/>
    <w:rsid w:val="009A77A7"/>
    <w:rsid w:val="009B1476"/>
    <w:rsid w:val="009B17E1"/>
    <w:rsid w:val="009B2F10"/>
    <w:rsid w:val="009B3C91"/>
    <w:rsid w:val="009B4733"/>
    <w:rsid w:val="009B52E9"/>
    <w:rsid w:val="009B59AD"/>
    <w:rsid w:val="009C21D9"/>
    <w:rsid w:val="009C46D8"/>
    <w:rsid w:val="009C4FBD"/>
    <w:rsid w:val="009C537C"/>
    <w:rsid w:val="009C643A"/>
    <w:rsid w:val="009D1B3C"/>
    <w:rsid w:val="009D2764"/>
    <w:rsid w:val="009D3AE3"/>
    <w:rsid w:val="009D43F8"/>
    <w:rsid w:val="009D4AFA"/>
    <w:rsid w:val="009D5AB4"/>
    <w:rsid w:val="009D69BD"/>
    <w:rsid w:val="009D778E"/>
    <w:rsid w:val="009D782F"/>
    <w:rsid w:val="009E1923"/>
    <w:rsid w:val="009E3D6D"/>
    <w:rsid w:val="009E3E7A"/>
    <w:rsid w:val="009E473D"/>
    <w:rsid w:val="009E5078"/>
    <w:rsid w:val="009E595D"/>
    <w:rsid w:val="009E66DE"/>
    <w:rsid w:val="009E6D26"/>
    <w:rsid w:val="009E782E"/>
    <w:rsid w:val="009E7FFD"/>
    <w:rsid w:val="009F1169"/>
    <w:rsid w:val="009F2B07"/>
    <w:rsid w:val="009F3AAC"/>
    <w:rsid w:val="009F55EA"/>
    <w:rsid w:val="009F5675"/>
    <w:rsid w:val="009F60BC"/>
    <w:rsid w:val="009F6ACC"/>
    <w:rsid w:val="009F6C4F"/>
    <w:rsid w:val="00A00875"/>
    <w:rsid w:val="00A01A8E"/>
    <w:rsid w:val="00A01B8D"/>
    <w:rsid w:val="00A02579"/>
    <w:rsid w:val="00A044D9"/>
    <w:rsid w:val="00A04D2B"/>
    <w:rsid w:val="00A060ED"/>
    <w:rsid w:val="00A0686F"/>
    <w:rsid w:val="00A100EF"/>
    <w:rsid w:val="00A10812"/>
    <w:rsid w:val="00A1088E"/>
    <w:rsid w:val="00A11ACD"/>
    <w:rsid w:val="00A12A45"/>
    <w:rsid w:val="00A131B0"/>
    <w:rsid w:val="00A1389E"/>
    <w:rsid w:val="00A14BB6"/>
    <w:rsid w:val="00A14CAE"/>
    <w:rsid w:val="00A15959"/>
    <w:rsid w:val="00A16461"/>
    <w:rsid w:val="00A16F40"/>
    <w:rsid w:val="00A20032"/>
    <w:rsid w:val="00A2020E"/>
    <w:rsid w:val="00A21010"/>
    <w:rsid w:val="00A2333A"/>
    <w:rsid w:val="00A2362A"/>
    <w:rsid w:val="00A24642"/>
    <w:rsid w:val="00A26492"/>
    <w:rsid w:val="00A26AD8"/>
    <w:rsid w:val="00A27869"/>
    <w:rsid w:val="00A313D1"/>
    <w:rsid w:val="00A313F7"/>
    <w:rsid w:val="00A317DA"/>
    <w:rsid w:val="00A31868"/>
    <w:rsid w:val="00A3196B"/>
    <w:rsid w:val="00A32CBA"/>
    <w:rsid w:val="00A33550"/>
    <w:rsid w:val="00A343D0"/>
    <w:rsid w:val="00A349F2"/>
    <w:rsid w:val="00A34D37"/>
    <w:rsid w:val="00A35BFB"/>
    <w:rsid w:val="00A37334"/>
    <w:rsid w:val="00A401C5"/>
    <w:rsid w:val="00A401F8"/>
    <w:rsid w:val="00A4163E"/>
    <w:rsid w:val="00A46154"/>
    <w:rsid w:val="00A507EC"/>
    <w:rsid w:val="00A52255"/>
    <w:rsid w:val="00A55333"/>
    <w:rsid w:val="00A55758"/>
    <w:rsid w:val="00A557F6"/>
    <w:rsid w:val="00A5620A"/>
    <w:rsid w:val="00A60C15"/>
    <w:rsid w:val="00A61015"/>
    <w:rsid w:val="00A617F7"/>
    <w:rsid w:val="00A620E7"/>
    <w:rsid w:val="00A622AF"/>
    <w:rsid w:val="00A62C0B"/>
    <w:rsid w:val="00A63ECF"/>
    <w:rsid w:val="00A63FAB"/>
    <w:rsid w:val="00A63FFE"/>
    <w:rsid w:val="00A6510A"/>
    <w:rsid w:val="00A66934"/>
    <w:rsid w:val="00A67DD2"/>
    <w:rsid w:val="00A70298"/>
    <w:rsid w:val="00A707DA"/>
    <w:rsid w:val="00A70A8A"/>
    <w:rsid w:val="00A70DBD"/>
    <w:rsid w:val="00A7148A"/>
    <w:rsid w:val="00A73D01"/>
    <w:rsid w:val="00A741AB"/>
    <w:rsid w:val="00A74C12"/>
    <w:rsid w:val="00A75009"/>
    <w:rsid w:val="00A76C90"/>
    <w:rsid w:val="00A76CC5"/>
    <w:rsid w:val="00A76E66"/>
    <w:rsid w:val="00A77592"/>
    <w:rsid w:val="00A775CA"/>
    <w:rsid w:val="00A80630"/>
    <w:rsid w:val="00A80DCA"/>
    <w:rsid w:val="00A8370E"/>
    <w:rsid w:val="00A83840"/>
    <w:rsid w:val="00A838FE"/>
    <w:rsid w:val="00A85117"/>
    <w:rsid w:val="00A85146"/>
    <w:rsid w:val="00A861A8"/>
    <w:rsid w:val="00A863BE"/>
    <w:rsid w:val="00A86CDF"/>
    <w:rsid w:val="00A86FE0"/>
    <w:rsid w:val="00A90CA6"/>
    <w:rsid w:val="00A91BEB"/>
    <w:rsid w:val="00A91C9B"/>
    <w:rsid w:val="00A92F86"/>
    <w:rsid w:val="00A9409D"/>
    <w:rsid w:val="00A94F5C"/>
    <w:rsid w:val="00A953B3"/>
    <w:rsid w:val="00A953C7"/>
    <w:rsid w:val="00A95F14"/>
    <w:rsid w:val="00A967E6"/>
    <w:rsid w:val="00A976C4"/>
    <w:rsid w:val="00AA07B5"/>
    <w:rsid w:val="00AA180B"/>
    <w:rsid w:val="00AA238D"/>
    <w:rsid w:val="00AA3858"/>
    <w:rsid w:val="00AA4546"/>
    <w:rsid w:val="00AA4748"/>
    <w:rsid w:val="00AB00DB"/>
    <w:rsid w:val="00AB0414"/>
    <w:rsid w:val="00AB0C72"/>
    <w:rsid w:val="00AB1683"/>
    <w:rsid w:val="00AB29AC"/>
    <w:rsid w:val="00AB2CE7"/>
    <w:rsid w:val="00AB2D09"/>
    <w:rsid w:val="00AB319B"/>
    <w:rsid w:val="00AB31BB"/>
    <w:rsid w:val="00AB4CB2"/>
    <w:rsid w:val="00AB5221"/>
    <w:rsid w:val="00AB61C3"/>
    <w:rsid w:val="00AC19E2"/>
    <w:rsid w:val="00AC2BAE"/>
    <w:rsid w:val="00AC2FEE"/>
    <w:rsid w:val="00AC3060"/>
    <w:rsid w:val="00AC5256"/>
    <w:rsid w:val="00AD0013"/>
    <w:rsid w:val="00AD0551"/>
    <w:rsid w:val="00AD081C"/>
    <w:rsid w:val="00AD2FB7"/>
    <w:rsid w:val="00AD30E9"/>
    <w:rsid w:val="00AD4C9B"/>
    <w:rsid w:val="00AD582E"/>
    <w:rsid w:val="00AD5E79"/>
    <w:rsid w:val="00AD7110"/>
    <w:rsid w:val="00AD750B"/>
    <w:rsid w:val="00AE0A14"/>
    <w:rsid w:val="00AE0A95"/>
    <w:rsid w:val="00AE0B4B"/>
    <w:rsid w:val="00AE0E5D"/>
    <w:rsid w:val="00AE3037"/>
    <w:rsid w:val="00AE3888"/>
    <w:rsid w:val="00AE3C9C"/>
    <w:rsid w:val="00AE3DC8"/>
    <w:rsid w:val="00AE3FFB"/>
    <w:rsid w:val="00AE4DAC"/>
    <w:rsid w:val="00AE5553"/>
    <w:rsid w:val="00AE672B"/>
    <w:rsid w:val="00AE7B7C"/>
    <w:rsid w:val="00AF11BF"/>
    <w:rsid w:val="00AF142D"/>
    <w:rsid w:val="00AF1B40"/>
    <w:rsid w:val="00AF1BC6"/>
    <w:rsid w:val="00AF222A"/>
    <w:rsid w:val="00AF2B6B"/>
    <w:rsid w:val="00AF4EC3"/>
    <w:rsid w:val="00AF508D"/>
    <w:rsid w:val="00AF56D9"/>
    <w:rsid w:val="00AF5713"/>
    <w:rsid w:val="00AF627E"/>
    <w:rsid w:val="00AF69A7"/>
    <w:rsid w:val="00AF6BB5"/>
    <w:rsid w:val="00B009B1"/>
    <w:rsid w:val="00B012E0"/>
    <w:rsid w:val="00B0296F"/>
    <w:rsid w:val="00B02DDD"/>
    <w:rsid w:val="00B03C5E"/>
    <w:rsid w:val="00B043B1"/>
    <w:rsid w:val="00B054A0"/>
    <w:rsid w:val="00B05FB1"/>
    <w:rsid w:val="00B0640D"/>
    <w:rsid w:val="00B07702"/>
    <w:rsid w:val="00B07966"/>
    <w:rsid w:val="00B07C7F"/>
    <w:rsid w:val="00B10AA3"/>
    <w:rsid w:val="00B11212"/>
    <w:rsid w:val="00B14100"/>
    <w:rsid w:val="00B1417D"/>
    <w:rsid w:val="00B15858"/>
    <w:rsid w:val="00B172D4"/>
    <w:rsid w:val="00B2022C"/>
    <w:rsid w:val="00B207A1"/>
    <w:rsid w:val="00B21F7E"/>
    <w:rsid w:val="00B22C55"/>
    <w:rsid w:val="00B23F01"/>
    <w:rsid w:val="00B24158"/>
    <w:rsid w:val="00B24C5F"/>
    <w:rsid w:val="00B26B98"/>
    <w:rsid w:val="00B27850"/>
    <w:rsid w:val="00B30AFD"/>
    <w:rsid w:val="00B3140F"/>
    <w:rsid w:val="00B3289E"/>
    <w:rsid w:val="00B3337E"/>
    <w:rsid w:val="00B34232"/>
    <w:rsid w:val="00B35CFC"/>
    <w:rsid w:val="00B360E9"/>
    <w:rsid w:val="00B36B9D"/>
    <w:rsid w:val="00B36EA6"/>
    <w:rsid w:val="00B36F3E"/>
    <w:rsid w:val="00B37342"/>
    <w:rsid w:val="00B37E1A"/>
    <w:rsid w:val="00B4086D"/>
    <w:rsid w:val="00B41803"/>
    <w:rsid w:val="00B41D89"/>
    <w:rsid w:val="00B4255D"/>
    <w:rsid w:val="00B426B6"/>
    <w:rsid w:val="00B42BBB"/>
    <w:rsid w:val="00B44089"/>
    <w:rsid w:val="00B44098"/>
    <w:rsid w:val="00B4520E"/>
    <w:rsid w:val="00B455A4"/>
    <w:rsid w:val="00B45783"/>
    <w:rsid w:val="00B465A3"/>
    <w:rsid w:val="00B4692D"/>
    <w:rsid w:val="00B46F24"/>
    <w:rsid w:val="00B47F71"/>
    <w:rsid w:val="00B50C2B"/>
    <w:rsid w:val="00B5119E"/>
    <w:rsid w:val="00B5121E"/>
    <w:rsid w:val="00B51669"/>
    <w:rsid w:val="00B53263"/>
    <w:rsid w:val="00B53E59"/>
    <w:rsid w:val="00B540CE"/>
    <w:rsid w:val="00B541A0"/>
    <w:rsid w:val="00B547C6"/>
    <w:rsid w:val="00B574C4"/>
    <w:rsid w:val="00B57810"/>
    <w:rsid w:val="00B57D9D"/>
    <w:rsid w:val="00B61136"/>
    <w:rsid w:val="00B6287B"/>
    <w:rsid w:val="00B6339C"/>
    <w:rsid w:val="00B63C12"/>
    <w:rsid w:val="00B63E58"/>
    <w:rsid w:val="00B64C67"/>
    <w:rsid w:val="00B66806"/>
    <w:rsid w:val="00B707C3"/>
    <w:rsid w:val="00B70AFD"/>
    <w:rsid w:val="00B71041"/>
    <w:rsid w:val="00B71C19"/>
    <w:rsid w:val="00B721FC"/>
    <w:rsid w:val="00B75F4E"/>
    <w:rsid w:val="00B764AB"/>
    <w:rsid w:val="00B77166"/>
    <w:rsid w:val="00B772C8"/>
    <w:rsid w:val="00B77638"/>
    <w:rsid w:val="00B777A4"/>
    <w:rsid w:val="00B8137D"/>
    <w:rsid w:val="00B85243"/>
    <w:rsid w:val="00B90303"/>
    <w:rsid w:val="00B94C99"/>
    <w:rsid w:val="00B96C39"/>
    <w:rsid w:val="00B96F92"/>
    <w:rsid w:val="00B979AE"/>
    <w:rsid w:val="00BA0471"/>
    <w:rsid w:val="00BA12CB"/>
    <w:rsid w:val="00BA1C19"/>
    <w:rsid w:val="00BA1CF1"/>
    <w:rsid w:val="00BA2B42"/>
    <w:rsid w:val="00BA4C6C"/>
    <w:rsid w:val="00BA4F40"/>
    <w:rsid w:val="00BA6DEF"/>
    <w:rsid w:val="00BA7DBB"/>
    <w:rsid w:val="00BB0FEA"/>
    <w:rsid w:val="00BB3342"/>
    <w:rsid w:val="00BB6049"/>
    <w:rsid w:val="00BB677B"/>
    <w:rsid w:val="00BB71F7"/>
    <w:rsid w:val="00BC000E"/>
    <w:rsid w:val="00BC0297"/>
    <w:rsid w:val="00BC0FC0"/>
    <w:rsid w:val="00BC3BC8"/>
    <w:rsid w:val="00BC3D08"/>
    <w:rsid w:val="00BC3DA4"/>
    <w:rsid w:val="00BC520A"/>
    <w:rsid w:val="00BC551C"/>
    <w:rsid w:val="00BC64CE"/>
    <w:rsid w:val="00BC693A"/>
    <w:rsid w:val="00BC69ED"/>
    <w:rsid w:val="00BC6D57"/>
    <w:rsid w:val="00BC7457"/>
    <w:rsid w:val="00BD0000"/>
    <w:rsid w:val="00BD0859"/>
    <w:rsid w:val="00BD0AD9"/>
    <w:rsid w:val="00BD1648"/>
    <w:rsid w:val="00BD18EC"/>
    <w:rsid w:val="00BD2573"/>
    <w:rsid w:val="00BD26F3"/>
    <w:rsid w:val="00BD30E0"/>
    <w:rsid w:val="00BD3E5D"/>
    <w:rsid w:val="00BD407A"/>
    <w:rsid w:val="00BD4D1F"/>
    <w:rsid w:val="00BD63F9"/>
    <w:rsid w:val="00BD6A6F"/>
    <w:rsid w:val="00BD7948"/>
    <w:rsid w:val="00BD7CA4"/>
    <w:rsid w:val="00BE1134"/>
    <w:rsid w:val="00BE18A9"/>
    <w:rsid w:val="00BE2BAD"/>
    <w:rsid w:val="00BE4820"/>
    <w:rsid w:val="00BE5722"/>
    <w:rsid w:val="00BE58CE"/>
    <w:rsid w:val="00BE5B32"/>
    <w:rsid w:val="00BE7A2A"/>
    <w:rsid w:val="00BE7B8C"/>
    <w:rsid w:val="00BE7F5B"/>
    <w:rsid w:val="00BF05D9"/>
    <w:rsid w:val="00BF240B"/>
    <w:rsid w:val="00BF4914"/>
    <w:rsid w:val="00BF7E27"/>
    <w:rsid w:val="00C005E3"/>
    <w:rsid w:val="00C026C3"/>
    <w:rsid w:val="00C027DA"/>
    <w:rsid w:val="00C03128"/>
    <w:rsid w:val="00C0349D"/>
    <w:rsid w:val="00C03649"/>
    <w:rsid w:val="00C05ADF"/>
    <w:rsid w:val="00C0620D"/>
    <w:rsid w:val="00C069F1"/>
    <w:rsid w:val="00C073E7"/>
    <w:rsid w:val="00C07F1D"/>
    <w:rsid w:val="00C101D0"/>
    <w:rsid w:val="00C11791"/>
    <w:rsid w:val="00C12884"/>
    <w:rsid w:val="00C12F6E"/>
    <w:rsid w:val="00C131F6"/>
    <w:rsid w:val="00C135D7"/>
    <w:rsid w:val="00C13829"/>
    <w:rsid w:val="00C14178"/>
    <w:rsid w:val="00C1422D"/>
    <w:rsid w:val="00C15603"/>
    <w:rsid w:val="00C15905"/>
    <w:rsid w:val="00C169E5"/>
    <w:rsid w:val="00C20DB0"/>
    <w:rsid w:val="00C215D4"/>
    <w:rsid w:val="00C220BC"/>
    <w:rsid w:val="00C23797"/>
    <w:rsid w:val="00C24CA8"/>
    <w:rsid w:val="00C26232"/>
    <w:rsid w:val="00C26257"/>
    <w:rsid w:val="00C30702"/>
    <w:rsid w:val="00C30800"/>
    <w:rsid w:val="00C31610"/>
    <w:rsid w:val="00C32F3D"/>
    <w:rsid w:val="00C33033"/>
    <w:rsid w:val="00C37953"/>
    <w:rsid w:val="00C37F14"/>
    <w:rsid w:val="00C42FEA"/>
    <w:rsid w:val="00C43365"/>
    <w:rsid w:val="00C4408B"/>
    <w:rsid w:val="00C44753"/>
    <w:rsid w:val="00C44AB9"/>
    <w:rsid w:val="00C4506E"/>
    <w:rsid w:val="00C45430"/>
    <w:rsid w:val="00C46937"/>
    <w:rsid w:val="00C50083"/>
    <w:rsid w:val="00C50583"/>
    <w:rsid w:val="00C5341B"/>
    <w:rsid w:val="00C54674"/>
    <w:rsid w:val="00C55E4F"/>
    <w:rsid w:val="00C56EC4"/>
    <w:rsid w:val="00C5722F"/>
    <w:rsid w:val="00C5747A"/>
    <w:rsid w:val="00C5767E"/>
    <w:rsid w:val="00C6029F"/>
    <w:rsid w:val="00C61D84"/>
    <w:rsid w:val="00C61F79"/>
    <w:rsid w:val="00C62A39"/>
    <w:rsid w:val="00C63231"/>
    <w:rsid w:val="00C634C0"/>
    <w:rsid w:val="00C63557"/>
    <w:rsid w:val="00C6457E"/>
    <w:rsid w:val="00C671DC"/>
    <w:rsid w:val="00C67510"/>
    <w:rsid w:val="00C67C75"/>
    <w:rsid w:val="00C7100A"/>
    <w:rsid w:val="00C71098"/>
    <w:rsid w:val="00C710D7"/>
    <w:rsid w:val="00C71B33"/>
    <w:rsid w:val="00C72680"/>
    <w:rsid w:val="00C7481D"/>
    <w:rsid w:val="00C74B03"/>
    <w:rsid w:val="00C751C0"/>
    <w:rsid w:val="00C75352"/>
    <w:rsid w:val="00C756BD"/>
    <w:rsid w:val="00C76C68"/>
    <w:rsid w:val="00C81192"/>
    <w:rsid w:val="00C81476"/>
    <w:rsid w:val="00C821F7"/>
    <w:rsid w:val="00C82720"/>
    <w:rsid w:val="00C82FBF"/>
    <w:rsid w:val="00C83C24"/>
    <w:rsid w:val="00C83E5F"/>
    <w:rsid w:val="00C8487C"/>
    <w:rsid w:val="00C85046"/>
    <w:rsid w:val="00C85699"/>
    <w:rsid w:val="00C85FDE"/>
    <w:rsid w:val="00C866E9"/>
    <w:rsid w:val="00C91528"/>
    <w:rsid w:val="00C92517"/>
    <w:rsid w:val="00C93425"/>
    <w:rsid w:val="00C94A42"/>
    <w:rsid w:val="00C94CA9"/>
    <w:rsid w:val="00C952C7"/>
    <w:rsid w:val="00C9534F"/>
    <w:rsid w:val="00C96922"/>
    <w:rsid w:val="00C970B9"/>
    <w:rsid w:val="00C9759B"/>
    <w:rsid w:val="00C9790F"/>
    <w:rsid w:val="00C97B40"/>
    <w:rsid w:val="00CA047F"/>
    <w:rsid w:val="00CA0A85"/>
    <w:rsid w:val="00CA116A"/>
    <w:rsid w:val="00CA1816"/>
    <w:rsid w:val="00CA240B"/>
    <w:rsid w:val="00CA52D6"/>
    <w:rsid w:val="00CA5CFB"/>
    <w:rsid w:val="00CA6AB0"/>
    <w:rsid w:val="00CB01A6"/>
    <w:rsid w:val="00CB1034"/>
    <w:rsid w:val="00CB1A04"/>
    <w:rsid w:val="00CB270E"/>
    <w:rsid w:val="00CB3863"/>
    <w:rsid w:val="00CB44C6"/>
    <w:rsid w:val="00CB4A62"/>
    <w:rsid w:val="00CB4CC8"/>
    <w:rsid w:val="00CB57D0"/>
    <w:rsid w:val="00CB6595"/>
    <w:rsid w:val="00CB66A2"/>
    <w:rsid w:val="00CB6A87"/>
    <w:rsid w:val="00CB7353"/>
    <w:rsid w:val="00CB7BD2"/>
    <w:rsid w:val="00CB7EF7"/>
    <w:rsid w:val="00CC0ACB"/>
    <w:rsid w:val="00CC0D39"/>
    <w:rsid w:val="00CC10B0"/>
    <w:rsid w:val="00CC2139"/>
    <w:rsid w:val="00CC344F"/>
    <w:rsid w:val="00CC3AE9"/>
    <w:rsid w:val="00CC3B1D"/>
    <w:rsid w:val="00CC4389"/>
    <w:rsid w:val="00CC4A28"/>
    <w:rsid w:val="00CC4CDE"/>
    <w:rsid w:val="00CC4F9A"/>
    <w:rsid w:val="00CC5C83"/>
    <w:rsid w:val="00CC60C5"/>
    <w:rsid w:val="00CC63DB"/>
    <w:rsid w:val="00CC745D"/>
    <w:rsid w:val="00CD0236"/>
    <w:rsid w:val="00CD0D6A"/>
    <w:rsid w:val="00CD1D63"/>
    <w:rsid w:val="00CD25EF"/>
    <w:rsid w:val="00CD3F82"/>
    <w:rsid w:val="00CD655A"/>
    <w:rsid w:val="00CD7639"/>
    <w:rsid w:val="00CE334F"/>
    <w:rsid w:val="00CE4356"/>
    <w:rsid w:val="00CE497F"/>
    <w:rsid w:val="00CE498F"/>
    <w:rsid w:val="00CE4F6B"/>
    <w:rsid w:val="00CE552D"/>
    <w:rsid w:val="00CE6442"/>
    <w:rsid w:val="00CE68AD"/>
    <w:rsid w:val="00CE691F"/>
    <w:rsid w:val="00CE7416"/>
    <w:rsid w:val="00CE7482"/>
    <w:rsid w:val="00CF1765"/>
    <w:rsid w:val="00CF17E8"/>
    <w:rsid w:val="00CF1882"/>
    <w:rsid w:val="00CF28AD"/>
    <w:rsid w:val="00CF2B24"/>
    <w:rsid w:val="00CF4C34"/>
    <w:rsid w:val="00CF6F2A"/>
    <w:rsid w:val="00CF740A"/>
    <w:rsid w:val="00D00681"/>
    <w:rsid w:val="00D01A6C"/>
    <w:rsid w:val="00D023FC"/>
    <w:rsid w:val="00D03B04"/>
    <w:rsid w:val="00D05010"/>
    <w:rsid w:val="00D05701"/>
    <w:rsid w:val="00D05755"/>
    <w:rsid w:val="00D05F89"/>
    <w:rsid w:val="00D06178"/>
    <w:rsid w:val="00D06491"/>
    <w:rsid w:val="00D065E6"/>
    <w:rsid w:val="00D0664F"/>
    <w:rsid w:val="00D06AFE"/>
    <w:rsid w:val="00D0784D"/>
    <w:rsid w:val="00D07FAB"/>
    <w:rsid w:val="00D10C86"/>
    <w:rsid w:val="00D11E7F"/>
    <w:rsid w:val="00D14A83"/>
    <w:rsid w:val="00D14F4F"/>
    <w:rsid w:val="00D15181"/>
    <w:rsid w:val="00D15483"/>
    <w:rsid w:val="00D166D1"/>
    <w:rsid w:val="00D17804"/>
    <w:rsid w:val="00D17CF6"/>
    <w:rsid w:val="00D20514"/>
    <w:rsid w:val="00D21F57"/>
    <w:rsid w:val="00D22055"/>
    <w:rsid w:val="00D223BD"/>
    <w:rsid w:val="00D2299F"/>
    <w:rsid w:val="00D22AFB"/>
    <w:rsid w:val="00D23262"/>
    <w:rsid w:val="00D24295"/>
    <w:rsid w:val="00D252EC"/>
    <w:rsid w:val="00D256AF"/>
    <w:rsid w:val="00D25CB7"/>
    <w:rsid w:val="00D26AEF"/>
    <w:rsid w:val="00D26BCE"/>
    <w:rsid w:val="00D26EC9"/>
    <w:rsid w:val="00D27FC4"/>
    <w:rsid w:val="00D3011C"/>
    <w:rsid w:val="00D30DEB"/>
    <w:rsid w:val="00D30FFC"/>
    <w:rsid w:val="00D31163"/>
    <w:rsid w:val="00D326FA"/>
    <w:rsid w:val="00D3310E"/>
    <w:rsid w:val="00D34595"/>
    <w:rsid w:val="00D36B0E"/>
    <w:rsid w:val="00D3750B"/>
    <w:rsid w:val="00D37F8C"/>
    <w:rsid w:val="00D41030"/>
    <w:rsid w:val="00D41081"/>
    <w:rsid w:val="00D430B7"/>
    <w:rsid w:val="00D4394B"/>
    <w:rsid w:val="00D450D5"/>
    <w:rsid w:val="00D45455"/>
    <w:rsid w:val="00D460E9"/>
    <w:rsid w:val="00D464AF"/>
    <w:rsid w:val="00D46866"/>
    <w:rsid w:val="00D468BF"/>
    <w:rsid w:val="00D46916"/>
    <w:rsid w:val="00D46A4F"/>
    <w:rsid w:val="00D46D97"/>
    <w:rsid w:val="00D46F3E"/>
    <w:rsid w:val="00D4746C"/>
    <w:rsid w:val="00D474A6"/>
    <w:rsid w:val="00D474DB"/>
    <w:rsid w:val="00D50B9B"/>
    <w:rsid w:val="00D5128B"/>
    <w:rsid w:val="00D512EF"/>
    <w:rsid w:val="00D523E0"/>
    <w:rsid w:val="00D533BF"/>
    <w:rsid w:val="00D53C92"/>
    <w:rsid w:val="00D546A0"/>
    <w:rsid w:val="00D54ADE"/>
    <w:rsid w:val="00D558FD"/>
    <w:rsid w:val="00D55E5A"/>
    <w:rsid w:val="00D55FDE"/>
    <w:rsid w:val="00D5673A"/>
    <w:rsid w:val="00D57E99"/>
    <w:rsid w:val="00D57F31"/>
    <w:rsid w:val="00D6097B"/>
    <w:rsid w:val="00D60BD3"/>
    <w:rsid w:val="00D61052"/>
    <w:rsid w:val="00D614C5"/>
    <w:rsid w:val="00D62237"/>
    <w:rsid w:val="00D62521"/>
    <w:rsid w:val="00D63945"/>
    <w:rsid w:val="00D63C4F"/>
    <w:rsid w:val="00D63D45"/>
    <w:rsid w:val="00D63FFC"/>
    <w:rsid w:val="00D65EA3"/>
    <w:rsid w:val="00D66527"/>
    <w:rsid w:val="00D66643"/>
    <w:rsid w:val="00D701D7"/>
    <w:rsid w:val="00D7090D"/>
    <w:rsid w:val="00D71818"/>
    <w:rsid w:val="00D71865"/>
    <w:rsid w:val="00D72B77"/>
    <w:rsid w:val="00D739D4"/>
    <w:rsid w:val="00D74B0F"/>
    <w:rsid w:val="00D754F7"/>
    <w:rsid w:val="00D7564B"/>
    <w:rsid w:val="00D76141"/>
    <w:rsid w:val="00D76400"/>
    <w:rsid w:val="00D7663A"/>
    <w:rsid w:val="00D76665"/>
    <w:rsid w:val="00D76A6E"/>
    <w:rsid w:val="00D76AB9"/>
    <w:rsid w:val="00D773B4"/>
    <w:rsid w:val="00D80C24"/>
    <w:rsid w:val="00D813F3"/>
    <w:rsid w:val="00D82458"/>
    <w:rsid w:val="00D828C1"/>
    <w:rsid w:val="00D848B2"/>
    <w:rsid w:val="00D84E81"/>
    <w:rsid w:val="00D8592B"/>
    <w:rsid w:val="00D863CB"/>
    <w:rsid w:val="00D86FFE"/>
    <w:rsid w:val="00D9096C"/>
    <w:rsid w:val="00D90E18"/>
    <w:rsid w:val="00D91912"/>
    <w:rsid w:val="00D91C77"/>
    <w:rsid w:val="00D93328"/>
    <w:rsid w:val="00D97658"/>
    <w:rsid w:val="00D9780B"/>
    <w:rsid w:val="00DA0621"/>
    <w:rsid w:val="00DA0D29"/>
    <w:rsid w:val="00DA0F9F"/>
    <w:rsid w:val="00DA263F"/>
    <w:rsid w:val="00DA27CE"/>
    <w:rsid w:val="00DA2C9B"/>
    <w:rsid w:val="00DA36CB"/>
    <w:rsid w:val="00DA3B51"/>
    <w:rsid w:val="00DA3DEE"/>
    <w:rsid w:val="00DA5485"/>
    <w:rsid w:val="00DA5E63"/>
    <w:rsid w:val="00DA65AA"/>
    <w:rsid w:val="00DA6AB8"/>
    <w:rsid w:val="00DA6AE6"/>
    <w:rsid w:val="00DB07B1"/>
    <w:rsid w:val="00DB0A2A"/>
    <w:rsid w:val="00DB0B25"/>
    <w:rsid w:val="00DB0CC4"/>
    <w:rsid w:val="00DB1727"/>
    <w:rsid w:val="00DB1912"/>
    <w:rsid w:val="00DB3119"/>
    <w:rsid w:val="00DB3CB0"/>
    <w:rsid w:val="00DB4831"/>
    <w:rsid w:val="00DB4CBD"/>
    <w:rsid w:val="00DB51BA"/>
    <w:rsid w:val="00DB52B8"/>
    <w:rsid w:val="00DB53A4"/>
    <w:rsid w:val="00DB5EB9"/>
    <w:rsid w:val="00DB6B4A"/>
    <w:rsid w:val="00DB74F5"/>
    <w:rsid w:val="00DB7669"/>
    <w:rsid w:val="00DC0B35"/>
    <w:rsid w:val="00DC0D03"/>
    <w:rsid w:val="00DC37F1"/>
    <w:rsid w:val="00DC3E2A"/>
    <w:rsid w:val="00DC42BD"/>
    <w:rsid w:val="00DC4564"/>
    <w:rsid w:val="00DC457E"/>
    <w:rsid w:val="00DC4664"/>
    <w:rsid w:val="00DC46A9"/>
    <w:rsid w:val="00DC5C5E"/>
    <w:rsid w:val="00DC69AA"/>
    <w:rsid w:val="00DC6BA4"/>
    <w:rsid w:val="00DC753E"/>
    <w:rsid w:val="00DC7948"/>
    <w:rsid w:val="00DD00FE"/>
    <w:rsid w:val="00DD03CA"/>
    <w:rsid w:val="00DD06C5"/>
    <w:rsid w:val="00DD36E4"/>
    <w:rsid w:val="00DD4037"/>
    <w:rsid w:val="00DD4A8F"/>
    <w:rsid w:val="00DD5155"/>
    <w:rsid w:val="00DD6EB3"/>
    <w:rsid w:val="00DD7151"/>
    <w:rsid w:val="00DD74CE"/>
    <w:rsid w:val="00DE0B7A"/>
    <w:rsid w:val="00DE0BA6"/>
    <w:rsid w:val="00DE114D"/>
    <w:rsid w:val="00DE1B02"/>
    <w:rsid w:val="00DE3450"/>
    <w:rsid w:val="00DE3558"/>
    <w:rsid w:val="00DE36CC"/>
    <w:rsid w:val="00DE37DB"/>
    <w:rsid w:val="00DE3DCB"/>
    <w:rsid w:val="00DE4996"/>
    <w:rsid w:val="00DE4ADE"/>
    <w:rsid w:val="00DE514A"/>
    <w:rsid w:val="00DE54C4"/>
    <w:rsid w:val="00DE5A81"/>
    <w:rsid w:val="00DE5B67"/>
    <w:rsid w:val="00DE5B6D"/>
    <w:rsid w:val="00DE6158"/>
    <w:rsid w:val="00DE6EA2"/>
    <w:rsid w:val="00DE7289"/>
    <w:rsid w:val="00DE7948"/>
    <w:rsid w:val="00DF0450"/>
    <w:rsid w:val="00DF070F"/>
    <w:rsid w:val="00DF1772"/>
    <w:rsid w:val="00DF207F"/>
    <w:rsid w:val="00DF2DE3"/>
    <w:rsid w:val="00DF346D"/>
    <w:rsid w:val="00DF4193"/>
    <w:rsid w:val="00DF41DD"/>
    <w:rsid w:val="00E00D22"/>
    <w:rsid w:val="00E00F90"/>
    <w:rsid w:val="00E012AD"/>
    <w:rsid w:val="00E01673"/>
    <w:rsid w:val="00E02061"/>
    <w:rsid w:val="00E02E0F"/>
    <w:rsid w:val="00E03399"/>
    <w:rsid w:val="00E033A9"/>
    <w:rsid w:val="00E0349D"/>
    <w:rsid w:val="00E03F2C"/>
    <w:rsid w:val="00E0499C"/>
    <w:rsid w:val="00E0550F"/>
    <w:rsid w:val="00E05638"/>
    <w:rsid w:val="00E06E78"/>
    <w:rsid w:val="00E07278"/>
    <w:rsid w:val="00E10996"/>
    <w:rsid w:val="00E1223F"/>
    <w:rsid w:val="00E12E8C"/>
    <w:rsid w:val="00E130D8"/>
    <w:rsid w:val="00E14406"/>
    <w:rsid w:val="00E15261"/>
    <w:rsid w:val="00E15C06"/>
    <w:rsid w:val="00E160D2"/>
    <w:rsid w:val="00E165C4"/>
    <w:rsid w:val="00E16876"/>
    <w:rsid w:val="00E16CAE"/>
    <w:rsid w:val="00E20C55"/>
    <w:rsid w:val="00E219A7"/>
    <w:rsid w:val="00E2384B"/>
    <w:rsid w:val="00E24D76"/>
    <w:rsid w:val="00E25656"/>
    <w:rsid w:val="00E26B98"/>
    <w:rsid w:val="00E27312"/>
    <w:rsid w:val="00E27BF9"/>
    <w:rsid w:val="00E31403"/>
    <w:rsid w:val="00E317BB"/>
    <w:rsid w:val="00E321CC"/>
    <w:rsid w:val="00E329F5"/>
    <w:rsid w:val="00E33294"/>
    <w:rsid w:val="00E332C4"/>
    <w:rsid w:val="00E34A6D"/>
    <w:rsid w:val="00E3571C"/>
    <w:rsid w:val="00E36976"/>
    <w:rsid w:val="00E36D7F"/>
    <w:rsid w:val="00E36E1A"/>
    <w:rsid w:val="00E36E63"/>
    <w:rsid w:val="00E37B30"/>
    <w:rsid w:val="00E405D3"/>
    <w:rsid w:val="00E40B3E"/>
    <w:rsid w:val="00E40E64"/>
    <w:rsid w:val="00E41ECA"/>
    <w:rsid w:val="00E421C6"/>
    <w:rsid w:val="00E442A7"/>
    <w:rsid w:val="00E46BC3"/>
    <w:rsid w:val="00E46C29"/>
    <w:rsid w:val="00E5137F"/>
    <w:rsid w:val="00E51E24"/>
    <w:rsid w:val="00E52DD3"/>
    <w:rsid w:val="00E53688"/>
    <w:rsid w:val="00E5402D"/>
    <w:rsid w:val="00E540A1"/>
    <w:rsid w:val="00E54B22"/>
    <w:rsid w:val="00E54F44"/>
    <w:rsid w:val="00E557E6"/>
    <w:rsid w:val="00E5636C"/>
    <w:rsid w:val="00E565C9"/>
    <w:rsid w:val="00E57B8C"/>
    <w:rsid w:val="00E62037"/>
    <w:rsid w:val="00E65BE4"/>
    <w:rsid w:val="00E67303"/>
    <w:rsid w:val="00E67A0F"/>
    <w:rsid w:val="00E7009A"/>
    <w:rsid w:val="00E70400"/>
    <w:rsid w:val="00E71772"/>
    <w:rsid w:val="00E7287A"/>
    <w:rsid w:val="00E72C41"/>
    <w:rsid w:val="00E7350B"/>
    <w:rsid w:val="00E75040"/>
    <w:rsid w:val="00E755A6"/>
    <w:rsid w:val="00E75DCC"/>
    <w:rsid w:val="00E75EAA"/>
    <w:rsid w:val="00E76DF7"/>
    <w:rsid w:val="00E76E1E"/>
    <w:rsid w:val="00E77462"/>
    <w:rsid w:val="00E7768C"/>
    <w:rsid w:val="00E77ED6"/>
    <w:rsid w:val="00E82869"/>
    <w:rsid w:val="00E83681"/>
    <w:rsid w:val="00E8466B"/>
    <w:rsid w:val="00E847FC"/>
    <w:rsid w:val="00E84ED1"/>
    <w:rsid w:val="00E85387"/>
    <w:rsid w:val="00E85755"/>
    <w:rsid w:val="00E86A5B"/>
    <w:rsid w:val="00E87803"/>
    <w:rsid w:val="00E91C74"/>
    <w:rsid w:val="00E92BF3"/>
    <w:rsid w:val="00E94199"/>
    <w:rsid w:val="00E952D9"/>
    <w:rsid w:val="00E9667C"/>
    <w:rsid w:val="00E969DB"/>
    <w:rsid w:val="00EA0A54"/>
    <w:rsid w:val="00EA2061"/>
    <w:rsid w:val="00EA2372"/>
    <w:rsid w:val="00EA27C3"/>
    <w:rsid w:val="00EA2E9F"/>
    <w:rsid w:val="00EA3BB1"/>
    <w:rsid w:val="00EA48ED"/>
    <w:rsid w:val="00EA4943"/>
    <w:rsid w:val="00EA4DFA"/>
    <w:rsid w:val="00EA544E"/>
    <w:rsid w:val="00EA6339"/>
    <w:rsid w:val="00EA6741"/>
    <w:rsid w:val="00EA7946"/>
    <w:rsid w:val="00EB2981"/>
    <w:rsid w:val="00EB49B3"/>
    <w:rsid w:val="00EB6216"/>
    <w:rsid w:val="00EB63FF"/>
    <w:rsid w:val="00EB6D64"/>
    <w:rsid w:val="00EB7CAC"/>
    <w:rsid w:val="00EC06CA"/>
    <w:rsid w:val="00EC135F"/>
    <w:rsid w:val="00EC1DA9"/>
    <w:rsid w:val="00EC40B8"/>
    <w:rsid w:val="00EC40E6"/>
    <w:rsid w:val="00EC4EB1"/>
    <w:rsid w:val="00EC522C"/>
    <w:rsid w:val="00EC52D1"/>
    <w:rsid w:val="00EC54D5"/>
    <w:rsid w:val="00EC5C66"/>
    <w:rsid w:val="00EC6EA2"/>
    <w:rsid w:val="00EC76FA"/>
    <w:rsid w:val="00ED0C8F"/>
    <w:rsid w:val="00ED22FD"/>
    <w:rsid w:val="00ED259A"/>
    <w:rsid w:val="00ED5B6F"/>
    <w:rsid w:val="00ED5FC7"/>
    <w:rsid w:val="00ED5FDE"/>
    <w:rsid w:val="00ED716A"/>
    <w:rsid w:val="00ED71E7"/>
    <w:rsid w:val="00ED7361"/>
    <w:rsid w:val="00ED798A"/>
    <w:rsid w:val="00ED7E18"/>
    <w:rsid w:val="00EE0311"/>
    <w:rsid w:val="00EE182C"/>
    <w:rsid w:val="00EE1BAF"/>
    <w:rsid w:val="00EE21D0"/>
    <w:rsid w:val="00EE3CC7"/>
    <w:rsid w:val="00EE4386"/>
    <w:rsid w:val="00EE4AAC"/>
    <w:rsid w:val="00EE4E4A"/>
    <w:rsid w:val="00EE5363"/>
    <w:rsid w:val="00EE57D6"/>
    <w:rsid w:val="00EE5DDD"/>
    <w:rsid w:val="00EE692C"/>
    <w:rsid w:val="00EE6D1F"/>
    <w:rsid w:val="00EE7318"/>
    <w:rsid w:val="00EE7B3B"/>
    <w:rsid w:val="00EE7FBA"/>
    <w:rsid w:val="00EF0989"/>
    <w:rsid w:val="00EF1354"/>
    <w:rsid w:val="00EF2C1C"/>
    <w:rsid w:val="00EF3D19"/>
    <w:rsid w:val="00EF44A8"/>
    <w:rsid w:val="00EF4C7D"/>
    <w:rsid w:val="00EF5050"/>
    <w:rsid w:val="00EF5A46"/>
    <w:rsid w:val="00EF6540"/>
    <w:rsid w:val="00F02166"/>
    <w:rsid w:val="00F026B6"/>
    <w:rsid w:val="00F035CD"/>
    <w:rsid w:val="00F04B80"/>
    <w:rsid w:val="00F04B81"/>
    <w:rsid w:val="00F04E9E"/>
    <w:rsid w:val="00F05C2F"/>
    <w:rsid w:val="00F072AE"/>
    <w:rsid w:val="00F07D50"/>
    <w:rsid w:val="00F10C41"/>
    <w:rsid w:val="00F1173B"/>
    <w:rsid w:val="00F1398A"/>
    <w:rsid w:val="00F145B9"/>
    <w:rsid w:val="00F15AEC"/>
    <w:rsid w:val="00F15F0F"/>
    <w:rsid w:val="00F17556"/>
    <w:rsid w:val="00F17582"/>
    <w:rsid w:val="00F17B1A"/>
    <w:rsid w:val="00F203CA"/>
    <w:rsid w:val="00F209B0"/>
    <w:rsid w:val="00F20ECF"/>
    <w:rsid w:val="00F22E27"/>
    <w:rsid w:val="00F23671"/>
    <w:rsid w:val="00F23D07"/>
    <w:rsid w:val="00F247C1"/>
    <w:rsid w:val="00F248F8"/>
    <w:rsid w:val="00F24A19"/>
    <w:rsid w:val="00F24CDF"/>
    <w:rsid w:val="00F24D52"/>
    <w:rsid w:val="00F25FBC"/>
    <w:rsid w:val="00F2705A"/>
    <w:rsid w:val="00F2727C"/>
    <w:rsid w:val="00F2743F"/>
    <w:rsid w:val="00F27789"/>
    <w:rsid w:val="00F30421"/>
    <w:rsid w:val="00F311E5"/>
    <w:rsid w:val="00F31699"/>
    <w:rsid w:val="00F33129"/>
    <w:rsid w:val="00F34CE6"/>
    <w:rsid w:val="00F357AB"/>
    <w:rsid w:val="00F35A20"/>
    <w:rsid w:val="00F36AB2"/>
    <w:rsid w:val="00F36C39"/>
    <w:rsid w:val="00F37059"/>
    <w:rsid w:val="00F3774C"/>
    <w:rsid w:val="00F402A9"/>
    <w:rsid w:val="00F4213D"/>
    <w:rsid w:val="00F43E05"/>
    <w:rsid w:val="00F44498"/>
    <w:rsid w:val="00F45030"/>
    <w:rsid w:val="00F4510C"/>
    <w:rsid w:val="00F45131"/>
    <w:rsid w:val="00F45B37"/>
    <w:rsid w:val="00F46E1C"/>
    <w:rsid w:val="00F47E19"/>
    <w:rsid w:val="00F52359"/>
    <w:rsid w:val="00F52FDC"/>
    <w:rsid w:val="00F53095"/>
    <w:rsid w:val="00F536F9"/>
    <w:rsid w:val="00F54A19"/>
    <w:rsid w:val="00F552DB"/>
    <w:rsid w:val="00F55487"/>
    <w:rsid w:val="00F5612B"/>
    <w:rsid w:val="00F5645F"/>
    <w:rsid w:val="00F575EB"/>
    <w:rsid w:val="00F57B4B"/>
    <w:rsid w:val="00F600A5"/>
    <w:rsid w:val="00F60E76"/>
    <w:rsid w:val="00F61A58"/>
    <w:rsid w:val="00F629CA"/>
    <w:rsid w:val="00F62D53"/>
    <w:rsid w:val="00F63533"/>
    <w:rsid w:val="00F639E5"/>
    <w:rsid w:val="00F64433"/>
    <w:rsid w:val="00F657C4"/>
    <w:rsid w:val="00F6663A"/>
    <w:rsid w:val="00F66E41"/>
    <w:rsid w:val="00F674C8"/>
    <w:rsid w:val="00F6798F"/>
    <w:rsid w:val="00F67A40"/>
    <w:rsid w:val="00F67EA8"/>
    <w:rsid w:val="00F71233"/>
    <w:rsid w:val="00F71804"/>
    <w:rsid w:val="00F718E6"/>
    <w:rsid w:val="00F72701"/>
    <w:rsid w:val="00F72B11"/>
    <w:rsid w:val="00F73E27"/>
    <w:rsid w:val="00F73ED1"/>
    <w:rsid w:val="00F74666"/>
    <w:rsid w:val="00F75E35"/>
    <w:rsid w:val="00F76DC5"/>
    <w:rsid w:val="00F809C5"/>
    <w:rsid w:val="00F80BB3"/>
    <w:rsid w:val="00F82BEF"/>
    <w:rsid w:val="00F82D7E"/>
    <w:rsid w:val="00F82E22"/>
    <w:rsid w:val="00F8350A"/>
    <w:rsid w:val="00F83A82"/>
    <w:rsid w:val="00F84599"/>
    <w:rsid w:val="00F8462A"/>
    <w:rsid w:val="00F849DD"/>
    <w:rsid w:val="00F85146"/>
    <w:rsid w:val="00F851F7"/>
    <w:rsid w:val="00F858F1"/>
    <w:rsid w:val="00F86CA0"/>
    <w:rsid w:val="00F86DE2"/>
    <w:rsid w:val="00F87966"/>
    <w:rsid w:val="00F9072F"/>
    <w:rsid w:val="00F928B0"/>
    <w:rsid w:val="00F9392B"/>
    <w:rsid w:val="00F93BE0"/>
    <w:rsid w:val="00F94C35"/>
    <w:rsid w:val="00F95878"/>
    <w:rsid w:val="00FA02C3"/>
    <w:rsid w:val="00FA0FDF"/>
    <w:rsid w:val="00FA1367"/>
    <w:rsid w:val="00FA24CA"/>
    <w:rsid w:val="00FA2A30"/>
    <w:rsid w:val="00FA3312"/>
    <w:rsid w:val="00FA446F"/>
    <w:rsid w:val="00FA4600"/>
    <w:rsid w:val="00FA47E3"/>
    <w:rsid w:val="00FA5B10"/>
    <w:rsid w:val="00FA5D20"/>
    <w:rsid w:val="00FA66FC"/>
    <w:rsid w:val="00FB0B3D"/>
    <w:rsid w:val="00FB127C"/>
    <w:rsid w:val="00FB13B8"/>
    <w:rsid w:val="00FB19C6"/>
    <w:rsid w:val="00FB1B03"/>
    <w:rsid w:val="00FB2C0F"/>
    <w:rsid w:val="00FB57AF"/>
    <w:rsid w:val="00FB6697"/>
    <w:rsid w:val="00FC09B1"/>
    <w:rsid w:val="00FC163B"/>
    <w:rsid w:val="00FC416C"/>
    <w:rsid w:val="00FC4BFB"/>
    <w:rsid w:val="00FC5158"/>
    <w:rsid w:val="00FC5DA9"/>
    <w:rsid w:val="00FC68AF"/>
    <w:rsid w:val="00FC6D8F"/>
    <w:rsid w:val="00FC7737"/>
    <w:rsid w:val="00FC7757"/>
    <w:rsid w:val="00FD04B1"/>
    <w:rsid w:val="00FD3249"/>
    <w:rsid w:val="00FD4DAD"/>
    <w:rsid w:val="00FD5E47"/>
    <w:rsid w:val="00FD60C5"/>
    <w:rsid w:val="00FD6557"/>
    <w:rsid w:val="00FD675F"/>
    <w:rsid w:val="00FD7737"/>
    <w:rsid w:val="00FD7D08"/>
    <w:rsid w:val="00FE1123"/>
    <w:rsid w:val="00FE1719"/>
    <w:rsid w:val="00FE2316"/>
    <w:rsid w:val="00FE2881"/>
    <w:rsid w:val="00FE384F"/>
    <w:rsid w:val="00FE388C"/>
    <w:rsid w:val="00FE4E55"/>
    <w:rsid w:val="00FE7C32"/>
    <w:rsid w:val="00FF12BB"/>
    <w:rsid w:val="00FF1FD2"/>
    <w:rsid w:val="00FF2150"/>
    <w:rsid w:val="00FF3004"/>
    <w:rsid w:val="00FF3852"/>
    <w:rsid w:val="00FF470E"/>
    <w:rsid w:val="00FF578B"/>
    <w:rsid w:val="00FF6511"/>
    <w:rsid w:val="00FF7921"/>
    <w:rsid w:val="00FF796F"/>
    <w:rsid w:val="4AC109FA"/>
    <w:rsid w:val="71F2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nhideWhenUsed="0" w:uiPriority="99" w:semiHidden="0" w:name="footnote text"/>
    <w:lsdException w:unhideWhenUsed="0"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480" w:firstLineChars="200"/>
      <w:jc w:val="both"/>
    </w:pPr>
    <w:rPr>
      <w:rFonts w:ascii="Times New Roman" w:hAnsi="Times New Roman" w:eastAsia="宋体" w:cs="Times New Roman"/>
      <w:kern w:val="0"/>
      <w:sz w:val="24"/>
      <w:szCs w:val="24"/>
      <w:lang w:val="en-US" w:eastAsia="zh-CN" w:bidi="ar-SA"/>
    </w:rPr>
  </w:style>
  <w:style w:type="paragraph" w:styleId="2">
    <w:name w:val="heading 1"/>
    <w:basedOn w:val="1"/>
    <w:next w:val="1"/>
    <w:link w:val="38"/>
    <w:qFormat/>
    <w:uiPriority w:val="9"/>
    <w:pPr>
      <w:keepNext/>
      <w:keepLines/>
      <w:spacing w:after="60" w:line="240" w:lineRule="auto"/>
      <w:ind w:firstLine="0" w:firstLineChars="0"/>
      <w:jc w:val="left"/>
      <w:outlineLvl w:val="0"/>
    </w:pPr>
    <w:rPr>
      <w:rFonts w:eastAsia="黑体"/>
      <w:b/>
      <w:bCs/>
      <w:kern w:val="44"/>
      <w:sz w:val="28"/>
      <w:szCs w:val="44"/>
    </w:rPr>
  </w:style>
  <w:style w:type="paragraph" w:styleId="3">
    <w:name w:val="heading 2"/>
    <w:basedOn w:val="1"/>
    <w:next w:val="1"/>
    <w:link w:val="37"/>
    <w:unhideWhenUsed/>
    <w:qFormat/>
    <w:uiPriority w:val="9"/>
    <w:pPr>
      <w:keepNext/>
      <w:keepLines/>
      <w:spacing w:before="120" w:after="60"/>
      <w:ind w:firstLine="482"/>
      <w:outlineLvl w:val="1"/>
    </w:pPr>
    <w:rPr>
      <w:rFonts w:ascii="黑体" w:hAnsi="黑体" w:eastAsia="黑体"/>
      <w:b/>
      <w:bCs/>
    </w:rPr>
  </w:style>
  <w:style w:type="paragraph" w:styleId="4">
    <w:name w:val="heading 3"/>
    <w:basedOn w:val="5"/>
    <w:next w:val="1"/>
    <w:link w:val="50"/>
    <w:unhideWhenUsed/>
    <w:qFormat/>
    <w:uiPriority w:val="9"/>
    <w:pPr>
      <w:numPr>
        <w:ilvl w:val="0"/>
        <w:numId w:val="0"/>
      </w:numPr>
      <w:ind w:left="200" w:leftChars="200"/>
      <w:outlineLvl w:val="2"/>
    </w:pPr>
  </w:style>
  <w:style w:type="paragraph" w:styleId="5">
    <w:name w:val="heading 4"/>
    <w:basedOn w:val="1"/>
    <w:next w:val="1"/>
    <w:link w:val="51"/>
    <w:unhideWhenUsed/>
    <w:qFormat/>
    <w:uiPriority w:val="9"/>
    <w:pPr>
      <w:numPr>
        <w:ilvl w:val="0"/>
        <w:numId w:val="1"/>
      </w:numPr>
      <w:spacing w:before="50" w:beforeLines="50"/>
      <w:ind w:left="0" w:firstLine="200"/>
      <w:outlineLvl w:val="3"/>
    </w:pPr>
    <w:rPr>
      <w:b/>
    </w:rPr>
  </w:style>
  <w:style w:type="paragraph" w:styleId="6">
    <w:name w:val="heading 5"/>
    <w:basedOn w:val="1"/>
    <w:next w:val="1"/>
    <w:link w:val="57"/>
    <w:unhideWhenUsed/>
    <w:qFormat/>
    <w:uiPriority w:val="9"/>
    <w:pPr>
      <w:keepNext/>
      <w:keepLines/>
      <w:spacing w:line="360" w:lineRule="auto"/>
      <w:outlineLvl w:val="4"/>
    </w:pPr>
    <w:rPr>
      <w:b/>
      <w:bCs/>
      <w:szCs w:val="28"/>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uiPriority w:val="39"/>
    <w:pPr>
      <w:spacing w:line="240" w:lineRule="auto"/>
      <w:ind w:left="2520" w:leftChars="1200" w:firstLine="0" w:firstLineChars="0"/>
    </w:pPr>
    <w:rPr>
      <w:rFonts w:asciiTheme="minorHAnsi" w:hAnsiTheme="minorHAnsi" w:eastAsiaTheme="minorEastAsia" w:cstheme="minorBidi"/>
      <w:kern w:val="2"/>
      <w:sz w:val="21"/>
      <w:szCs w:val="22"/>
    </w:rPr>
  </w:style>
  <w:style w:type="paragraph" w:styleId="8">
    <w:name w:val="caption"/>
    <w:basedOn w:val="1"/>
    <w:next w:val="1"/>
    <w:unhideWhenUsed/>
    <w:qFormat/>
    <w:uiPriority w:val="35"/>
    <w:pPr>
      <w:ind w:firstLine="0" w:firstLineChars="0"/>
      <w:jc w:val="center"/>
    </w:pPr>
    <w:rPr>
      <w:rFonts w:eastAsia="黑体" w:cstheme="majorBidi"/>
      <w:sz w:val="20"/>
      <w:szCs w:val="20"/>
    </w:rPr>
  </w:style>
  <w:style w:type="paragraph" w:styleId="9">
    <w:name w:val="Document Map"/>
    <w:basedOn w:val="1"/>
    <w:link w:val="75"/>
    <w:semiHidden/>
    <w:unhideWhenUsed/>
    <w:uiPriority w:val="99"/>
    <w:pPr>
      <w:spacing w:line="240" w:lineRule="auto"/>
      <w:ind w:firstLine="0" w:firstLineChars="0"/>
    </w:pPr>
    <w:rPr>
      <w:rFonts w:ascii="宋体" w:hAnsi="Calibri"/>
      <w:sz w:val="18"/>
      <w:szCs w:val="18"/>
      <w:lang w:val="zh-CN" w:eastAsia="zh-CN"/>
    </w:rPr>
  </w:style>
  <w:style w:type="paragraph" w:styleId="10">
    <w:name w:val="annotation text"/>
    <w:basedOn w:val="1"/>
    <w:link w:val="54"/>
    <w:uiPriority w:val="99"/>
    <w:pPr>
      <w:widowControl/>
      <w:spacing w:after="200" w:line="240" w:lineRule="auto"/>
      <w:ind w:firstLine="0" w:firstLineChars="0"/>
      <w:jc w:val="left"/>
    </w:pPr>
    <w:rPr>
      <w:rFonts w:ascii="Calibri" w:hAnsi="Calibri"/>
      <w:sz w:val="20"/>
      <w:szCs w:val="20"/>
      <w:lang w:val="zh-CN"/>
    </w:rPr>
  </w:style>
  <w:style w:type="paragraph" w:styleId="11">
    <w:name w:val="toc 5"/>
    <w:basedOn w:val="1"/>
    <w:next w:val="1"/>
    <w:unhideWhenUsed/>
    <w:uiPriority w:val="39"/>
    <w:pPr>
      <w:spacing w:line="240" w:lineRule="auto"/>
      <w:ind w:left="1680" w:leftChars="800" w:firstLine="0" w:firstLineChars="0"/>
    </w:pPr>
    <w:rPr>
      <w:rFonts w:asciiTheme="minorHAnsi" w:hAnsiTheme="minorHAnsi" w:eastAsiaTheme="minorEastAsia" w:cstheme="minorBidi"/>
      <w:kern w:val="2"/>
      <w:sz w:val="21"/>
      <w:szCs w:val="22"/>
    </w:rPr>
  </w:style>
  <w:style w:type="paragraph" w:styleId="12">
    <w:name w:val="toc 3"/>
    <w:basedOn w:val="1"/>
    <w:next w:val="1"/>
    <w:unhideWhenUsed/>
    <w:uiPriority w:val="39"/>
    <w:pPr>
      <w:tabs>
        <w:tab w:val="right" w:leader="dot" w:pos="9736"/>
      </w:tabs>
      <w:ind w:left="141" w:leftChars="71" w:firstLine="420"/>
    </w:pPr>
  </w:style>
  <w:style w:type="paragraph" w:styleId="13">
    <w:name w:val="toc 8"/>
    <w:basedOn w:val="1"/>
    <w:next w:val="1"/>
    <w:unhideWhenUsed/>
    <w:uiPriority w:val="39"/>
    <w:pPr>
      <w:spacing w:line="240" w:lineRule="auto"/>
      <w:ind w:left="2940" w:leftChars="1400" w:firstLine="0" w:firstLineChars="0"/>
    </w:pPr>
    <w:rPr>
      <w:rFonts w:asciiTheme="minorHAnsi" w:hAnsiTheme="minorHAnsi" w:eastAsiaTheme="minorEastAsia" w:cstheme="minorBidi"/>
      <w:kern w:val="2"/>
      <w:sz w:val="21"/>
      <w:szCs w:val="22"/>
    </w:rPr>
  </w:style>
  <w:style w:type="paragraph" w:styleId="14">
    <w:name w:val="Date"/>
    <w:basedOn w:val="1"/>
    <w:next w:val="1"/>
    <w:link w:val="87"/>
    <w:semiHidden/>
    <w:unhideWhenUsed/>
    <w:uiPriority w:val="99"/>
    <w:pPr>
      <w:spacing w:line="240" w:lineRule="auto"/>
      <w:ind w:left="100" w:leftChars="2500" w:firstLine="0" w:firstLineChars="0"/>
    </w:pPr>
    <w:rPr>
      <w:rFonts w:ascii="Calibri" w:hAnsi="Calibri"/>
      <w:kern w:val="2"/>
      <w:sz w:val="21"/>
      <w:szCs w:val="22"/>
      <w:lang w:val="zh-CN" w:eastAsia="zh-CN"/>
    </w:rPr>
  </w:style>
  <w:style w:type="paragraph" w:styleId="15">
    <w:name w:val="endnote text"/>
    <w:basedOn w:val="1"/>
    <w:link w:val="59"/>
    <w:semiHidden/>
    <w:unhideWhenUsed/>
    <w:uiPriority w:val="99"/>
    <w:pPr>
      <w:snapToGrid w:val="0"/>
      <w:jc w:val="left"/>
    </w:pPr>
  </w:style>
  <w:style w:type="paragraph" w:styleId="16">
    <w:name w:val="Balloon Text"/>
    <w:basedOn w:val="1"/>
    <w:link w:val="43"/>
    <w:semiHidden/>
    <w:unhideWhenUsed/>
    <w:uiPriority w:val="99"/>
    <w:pPr>
      <w:spacing w:line="240" w:lineRule="auto"/>
    </w:pPr>
    <w:rPr>
      <w:sz w:val="18"/>
      <w:szCs w:val="18"/>
    </w:rPr>
  </w:style>
  <w:style w:type="paragraph" w:styleId="17">
    <w:name w:val="footer"/>
    <w:basedOn w:val="1"/>
    <w:link w:val="42"/>
    <w:unhideWhenUsed/>
    <w:uiPriority w:val="99"/>
    <w:pPr>
      <w:tabs>
        <w:tab w:val="center" w:pos="4153"/>
        <w:tab w:val="right" w:pos="8306"/>
      </w:tabs>
      <w:snapToGrid w:val="0"/>
      <w:spacing w:line="240" w:lineRule="auto"/>
      <w:jc w:val="left"/>
    </w:pPr>
    <w:rPr>
      <w:sz w:val="18"/>
      <w:szCs w:val="18"/>
    </w:rPr>
  </w:style>
  <w:style w:type="paragraph" w:styleId="18">
    <w:name w:val="header"/>
    <w:basedOn w:val="1"/>
    <w:link w:val="4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uiPriority w:val="39"/>
    <w:pPr>
      <w:tabs>
        <w:tab w:val="right" w:leader="dot" w:pos="9736"/>
      </w:tabs>
      <w:ind w:firstLine="0" w:firstLineChars="0"/>
    </w:pPr>
    <w:rPr>
      <w:b/>
    </w:rPr>
  </w:style>
  <w:style w:type="paragraph" w:styleId="20">
    <w:name w:val="toc 4"/>
    <w:basedOn w:val="1"/>
    <w:next w:val="1"/>
    <w:unhideWhenUsed/>
    <w:uiPriority w:val="39"/>
    <w:pPr>
      <w:ind w:left="1260" w:leftChars="600"/>
    </w:pPr>
  </w:style>
  <w:style w:type="paragraph" w:styleId="21">
    <w:name w:val="Subtitle"/>
    <w:basedOn w:val="1"/>
    <w:next w:val="1"/>
    <w:link w:val="68"/>
    <w:qFormat/>
    <w:uiPriority w:val="11"/>
    <w:pPr>
      <w:spacing w:before="240" w:after="60"/>
      <w:ind w:firstLine="0" w:firstLineChars="0"/>
      <w:jc w:val="center"/>
      <w:outlineLvl w:val="1"/>
    </w:pPr>
    <w:rPr>
      <w:rFonts w:ascii="Cambria" w:hAnsi="Cambria"/>
      <w:b/>
      <w:bCs/>
      <w:kern w:val="28"/>
      <w:sz w:val="32"/>
      <w:szCs w:val="32"/>
      <w:lang w:val="zh-CN" w:eastAsia="zh-CN"/>
    </w:rPr>
  </w:style>
  <w:style w:type="paragraph" w:styleId="22">
    <w:name w:val="footnote text"/>
    <w:basedOn w:val="1"/>
    <w:link w:val="55"/>
    <w:uiPriority w:val="99"/>
    <w:pPr>
      <w:widowControl/>
      <w:spacing w:line="240" w:lineRule="auto"/>
      <w:ind w:firstLine="0" w:firstLineChars="0"/>
      <w:jc w:val="left"/>
    </w:pPr>
    <w:rPr>
      <w:rFonts w:ascii="Calibri" w:hAnsi="Calibri"/>
      <w:sz w:val="20"/>
      <w:szCs w:val="20"/>
      <w:lang w:val="zh-CN"/>
    </w:rPr>
  </w:style>
  <w:style w:type="paragraph" w:styleId="23">
    <w:name w:val="toc 6"/>
    <w:basedOn w:val="1"/>
    <w:next w:val="1"/>
    <w:unhideWhenUsed/>
    <w:uiPriority w:val="39"/>
    <w:pPr>
      <w:spacing w:line="240" w:lineRule="auto"/>
      <w:ind w:left="2100" w:leftChars="1000" w:firstLine="0" w:firstLineChars="0"/>
    </w:pPr>
    <w:rPr>
      <w:rFonts w:asciiTheme="minorHAnsi" w:hAnsiTheme="minorHAnsi" w:eastAsiaTheme="minorEastAsia" w:cstheme="minorBidi"/>
      <w:kern w:val="2"/>
      <w:sz w:val="21"/>
      <w:szCs w:val="22"/>
    </w:rPr>
  </w:style>
  <w:style w:type="paragraph" w:styleId="24">
    <w:name w:val="toc 2"/>
    <w:basedOn w:val="1"/>
    <w:next w:val="1"/>
    <w:unhideWhenUsed/>
    <w:uiPriority w:val="39"/>
    <w:pPr>
      <w:tabs>
        <w:tab w:val="right" w:leader="dot" w:pos="9736"/>
      </w:tabs>
      <w:ind w:left="170" w:leftChars="71" w:firstLine="34" w:firstLineChars="14"/>
    </w:pPr>
  </w:style>
  <w:style w:type="paragraph" w:styleId="25">
    <w:name w:val="toc 9"/>
    <w:basedOn w:val="1"/>
    <w:next w:val="1"/>
    <w:unhideWhenUsed/>
    <w:uiPriority w:val="39"/>
    <w:pPr>
      <w:spacing w:line="240" w:lineRule="auto"/>
      <w:ind w:left="3360" w:leftChars="1600" w:firstLine="0" w:firstLineChars="0"/>
    </w:pPr>
    <w:rPr>
      <w:rFonts w:asciiTheme="minorHAnsi" w:hAnsiTheme="minorHAnsi" w:eastAsiaTheme="minorEastAsia" w:cstheme="minorBidi"/>
      <w:kern w:val="2"/>
      <w:sz w:val="21"/>
      <w:szCs w:val="22"/>
    </w:rPr>
  </w:style>
  <w:style w:type="paragraph" w:styleId="26">
    <w:name w:val="Normal (Web)"/>
    <w:basedOn w:val="1"/>
    <w:semiHidden/>
    <w:unhideWhenUsed/>
    <w:uiPriority w:val="99"/>
    <w:pPr>
      <w:widowControl/>
      <w:spacing w:before="100" w:beforeAutospacing="1" w:after="100" w:afterAutospacing="1" w:line="240" w:lineRule="auto"/>
      <w:ind w:firstLine="0" w:firstLineChars="0"/>
      <w:jc w:val="left"/>
    </w:pPr>
    <w:rPr>
      <w:rFonts w:ascii="宋体" w:hAnsi="宋体" w:cs="宋体"/>
    </w:rPr>
  </w:style>
  <w:style w:type="paragraph" w:styleId="27">
    <w:name w:val="Title"/>
    <w:basedOn w:val="1"/>
    <w:next w:val="1"/>
    <w:link w:val="66"/>
    <w:qFormat/>
    <w:uiPriority w:val="10"/>
    <w:pPr>
      <w:spacing w:before="240" w:after="60" w:line="240" w:lineRule="auto"/>
      <w:ind w:firstLine="0" w:firstLineChars="0"/>
      <w:jc w:val="center"/>
      <w:outlineLvl w:val="0"/>
    </w:pPr>
    <w:rPr>
      <w:rFonts w:ascii="Cambria" w:hAnsi="Cambria"/>
      <w:b/>
      <w:bCs/>
      <w:sz w:val="32"/>
      <w:szCs w:val="32"/>
      <w:lang w:val="zh-CN" w:eastAsia="zh-CN"/>
    </w:rPr>
  </w:style>
  <w:style w:type="paragraph" w:styleId="28">
    <w:name w:val="annotation subject"/>
    <w:basedOn w:val="10"/>
    <w:next w:val="10"/>
    <w:link w:val="62"/>
    <w:semiHidden/>
    <w:unhideWhenUsed/>
    <w:uiPriority w:val="99"/>
    <w:pPr>
      <w:widowControl w:val="0"/>
      <w:spacing w:after="0" w:line="312" w:lineRule="auto"/>
      <w:ind w:firstLine="200" w:firstLineChars="200"/>
    </w:pPr>
    <w:rPr>
      <w:rFonts w:ascii="Arial" w:hAnsi="Arial"/>
      <w:b/>
      <w:bCs/>
      <w:sz w:val="24"/>
      <w:szCs w:val="24"/>
      <w:lang w:val="en-US"/>
    </w:rPr>
  </w:style>
  <w:style w:type="table" w:styleId="30">
    <w:name w:val="Table Grid"/>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endnote reference"/>
    <w:basedOn w:val="31"/>
    <w:semiHidden/>
    <w:unhideWhenUsed/>
    <w:uiPriority w:val="99"/>
    <w:rPr>
      <w:vertAlign w:val="superscript"/>
    </w:rPr>
  </w:style>
  <w:style w:type="character" w:styleId="33">
    <w:name w:val="Emphasis"/>
    <w:basedOn w:val="31"/>
    <w:qFormat/>
    <w:uiPriority w:val="20"/>
    <w:rPr>
      <w:i/>
      <w:iCs/>
    </w:rPr>
  </w:style>
  <w:style w:type="character" w:styleId="34">
    <w:name w:val="Hyperlink"/>
    <w:basedOn w:val="31"/>
    <w:unhideWhenUsed/>
    <w:uiPriority w:val="99"/>
    <w:rPr>
      <w:color w:val="0563C1" w:themeColor="hyperlink"/>
      <w:u w:val="single"/>
      <w14:textFill>
        <w14:solidFill>
          <w14:schemeClr w14:val="hlink"/>
        </w14:solidFill>
      </w14:textFill>
    </w:rPr>
  </w:style>
  <w:style w:type="character" w:styleId="35">
    <w:name w:val="annotation reference"/>
    <w:basedOn w:val="31"/>
    <w:semiHidden/>
    <w:unhideWhenUsed/>
    <w:uiPriority w:val="99"/>
    <w:rPr>
      <w:sz w:val="21"/>
      <w:szCs w:val="21"/>
    </w:rPr>
  </w:style>
  <w:style w:type="character" w:styleId="36">
    <w:name w:val="footnote reference"/>
    <w:basedOn w:val="31"/>
    <w:qFormat/>
    <w:uiPriority w:val="99"/>
    <w:rPr>
      <w:rFonts w:cs="Times New Roman"/>
      <w:vertAlign w:val="superscript"/>
    </w:rPr>
  </w:style>
  <w:style w:type="character" w:customStyle="1" w:styleId="37">
    <w:name w:val="标题 2 Char1"/>
    <w:basedOn w:val="31"/>
    <w:link w:val="3"/>
    <w:uiPriority w:val="9"/>
    <w:rPr>
      <w:rFonts w:ascii="黑体" w:hAnsi="黑体" w:eastAsia="黑体" w:cs="Times New Roman"/>
      <w:b/>
      <w:bCs/>
      <w:kern w:val="0"/>
      <w:sz w:val="24"/>
      <w:szCs w:val="24"/>
    </w:rPr>
  </w:style>
  <w:style w:type="character" w:customStyle="1" w:styleId="38">
    <w:name w:val="标题 1 Char1"/>
    <w:basedOn w:val="31"/>
    <w:link w:val="2"/>
    <w:uiPriority w:val="9"/>
    <w:rPr>
      <w:rFonts w:ascii="Arial" w:hAnsi="Arial" w:eastAsia="黑体" w:cs="Times New Roman"/>
      <w:b/>
      <w:bCs/>
      <w:kern w:val="44"/>
      <w:sz w:val="28"/>
      <w:szCs w:val="44"/>
    </w:rPr>
  </w:style>
  <w:style w:type="paragraph" w:styleId="39">
    <w:name w:val="List Paragraph"/>
    <w:basedOn w:val="1"/>
    <w:qFormat/>
    <w:uiPriority w:val="34"/>
    <w:pPr>
      <w:ind w:firstLine="420"/>
    </w:pPr>
  </w:style>
  <w:style w:type="paragraph" w:styleId="40">
    <w:name w:val="No Spacing"/>
    <w:qFormat/>
    <w:uiPriority w:val="1"/>
    <w:pPr>
      <w:widowControl w:val="0"/>
      <w:ind w:firstLine="200" w:firstLineChars="200"/>
      <w:jc w:val="both"/>
    </w:pPr>
    <w:rPr>
      <w:rFonts w:ascii="Times New Roman" w:hAnsi="Times New Roman" w:eastAsia="宋体" w:cs="Times New Roman"/>
      <w:spacing w:val="-6"/>
      <w:kern w:val="0"/>
      <w:sz w:val="21"/>
      <w:szCs w:val="24"/>
      <w:lang w:val="en-US" w:eastAsia="zh-CN" w:bidi="ar-SA"/>
    </w:rPr>
  </w:style>
  <w:style w:type="character" w:customStyle="1" w:styleId="41">
    <w:name w:val="页眉 Char1"/>
    <w:basedOn w:val="31"/>
    <w:link w:val="18"/>
    <w:uiPriority w:val="99"/>
    <w:rPr>
      <w:rFonts w:ascii="Times New Roman" w:hAnsi="Times New Roman" w:eastAsia="宋体" w:cs="Times New Roman"/>
      <w:spacing w:val="-6"/>
      <w:kern w:val="0"/>
      <w:sz w:val="18"/>
      <w:szCs w:val="18"/>
    </w:rPr>
  </w:style>
  <w:style w:type="character" w:customStyle="1" w:styleId="42">
    <w:name w:val="页脚 Char1"/>
    <w:basedOn w:val="31"/>
    <w:link w:val="17"/>
    <w:uiPriority w:val="99"/>
    <w:rPr>
      <w:rFonts w:ascii="Times New Roman" w:hAnsi="Times New Roman" w:eastAsia="宋体" w:cs="Times New Roman"/>
      <w:spacing w:val="-6"/>
      <w:kern w:val="0"/>
      <w:sz w:val="18"/>
      <w:szCs w:val="18"/>
    </w:rPr>
  </w:style>
  <w:style w:type="character" w:customStyle="1" w:styleId="43">
    <w:name w:val="批注框文本 Char1"/>
    <w:basedOn w:val="31"/>
    <w:link w:val="16"/>
    <w:semiHidden/>
    <w:uiPriority w:val="99"/>
    <w:rPr>
      <w:rFonts w:ascii="Times New Roman" w:hAnsi="Times New Roman" w:eastAsia="宋体" w:cs="Times New Roman"/>
      <w:spacing w:val="-6"/>
      <w:kern w:val="0"/>
      <w:sz w:val="18"/>
      <w:szCs w:val="18"/>
    </w:rPr>
  </w:style>
  <w:style w:type="paragraph" w:customStyle="1" w:styleId="44">
    <w:name w:val="进展正文"/>
    <w:basedOn w:val="1"/>
    <w:link w:val="45"/>
    <w:qFormat/>
    <w:uiPriority w:val="0"/>
    <w:pPr>
      <w:ind w:firstLine="0" w:firstLineChars="0"/>
    </w:pPr>
  </w:style>
  <w:style w:type="character" w:customStyle="1" w:styleId="45">
    <w:name w:val="进展正文 字符"/>
    <w:basedOn w:val="31"/>
    <w:link w:val="44"/>
    <w:uiPriority w:val="0"/>
    <w:rPr>
      <w:rFonts w:ascii="Times New Roman" w:hAnsi="Times New Roman" w:eastAsia="宋体" w:cs="Times New Roman"/>
      <w:spacing w:val="-6"/>
      <w:kern w:val="0"/>
      <w:szCs w:val="24"/>
    </w:rPr>
  </w:style>
  <w:style w:type="paragraph" w:customStyle="1" w:styleId="46">
    <w:name w:val="背景信息"/>
    <w:basedOn w:val="1"/>
    <w:link w:val="48"/>
    <w:qFormat/>
    <w:uiPriority w:val="0"/>
    <w:pPr>
      <w:ind w:firstLine="0" w:firstLineChars="0"/>
    </w:pPr>
    <w:rPr>
      <w:rFonts w:ascii="楷体" w:hAnsi="楷体" w:eastAsia="楷体"/>
      <w:spacing w:val="-10"/>
    </w:rPr>
  </w:style>
  <w:style w:type="paragraph" w:customStyle="1" w:styleId="47">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8">
    <w:name w:val="背景信息 字符"/>
    <w:basedOn w:val="31"/>
    <w:link w:val="46"/>
    <w:uiPriority w:val="0"/>
    <w:rPr>
      <w:rFonts w:ascii="楷体" w:hAnsi="楷体" w:eastAsia="楷体" w:cs="Times New Roman"/>
      <w:spacing w:val="-10"/>
      <w:kern w:val="0"/>
      <w:szCs w:val="24"/>
    </w:rPr>
  </w:style>
  <w:style w:type="character" w:styleId="49">
    <w:name w:val="Placeholder Text"/>
    <w:basedOn w:val="31"/>
    <w:semiHidden/>
    <w:uiPriority w:val="99"/>
    <w:rPr>
      <w:color w:val="808080"/>
    </w:rPr>
  </w:style>
  <w:style w:type="character" w:customStyle="1" w:styleId="50">
    <w:name w:val="标题 3 Char1"/>
    <w:basedOn w:val="31"/>
    <w:link w:val="4"/>
    <w:uiPriority w:val="9"/>
    <w:rPr>
      <w:rFonts w:ascii="Arial" w:hAnsi="Arial" w:eastAsia="宋体" w:cs="Times New Roman"/>
      <w:b/>
      <w:kern w:val="0"/>
      <w:sz w:val="24"/>
      <w:szCs w:val="24"/>
    </w:rPr>
  </w:style>
  <w:style w:type="character" w:customStyle="1" w:styleId="51">
    <w:name w:val="标题 4 Char1"/>
    <w:basedOn w:val="31"/>
    <w:link w:val="5"/>
    <w:uiPriority w:val="9"/>
    <w:rPr>
      <w:rFonts w:ascii="Arial" w:hAnsi="Arial" w:eastAsia="宋体" w:cs="Times New Roman"/>
      <w:b/>
      <w:kern w:val="0"/>
      <w:sz w:val="24"/>
      <w:szCs w:val="24"/>
    </w:rPr>
  </w:style>
  <w:style w:type="paragraph" w:customStyle="1" w:styleId="52">
    <w:name w:val="APEC Form"/>
    <w:basedOn w:val="1"/>
    <w:uiPriority w:val="99"/>
    <w:pPr>
      <w:widowControl/>
      <w:tabs>
        <w:tab w:val="left" w:pos="2880"/>
        <w:tab w:val="left" w:pos="5760"/>
      </w:tabs>
      <w:spacing w:before="60" w:after="120" w:line="300" w:lineRule="atLeast"/>
      <w:ind w:firstLine="0" w:firstLineChars="0"/>
      <w:jc w:val="left"/>
    </w:pPr>
    <w:rPr>
      <w:rFonts w:eastAsia="PMingLiU"/>
      <w:bCs/>
      <w:sz w:val="20"/>
      <w:szCs w:val="22"/>
      <w:lang w:val="en-GB" w:eastAsia="en-US"/>
    </w:rPr>
  </w:style>
  <w:style w:type="paragraph" w:customStyle="1" w:styleId="53">
    <w:name w:val="IGB_Body Text"/>
    <w:basedOn w:val="1"/>
    <w:uiPriority w:val="99"/>
    <w:pPr>
      <w:widowControl/>
      <w:suppressAutoHyphens/>
      <w:autoSpaceDE w:val="0"/>
      <w:autoSpaceDN w:val="0"/>
      <w:adjustRightInd w:val="0"/>
      <w:spacing w:after="120" w:line="240" w:lineRule="atLeast"/>
      <w:ind w:firstLine="0" w:firstLineChars="0"/>
      <w:jc w:val="left"/>
    </w:pPr>
    <w:rPr>
      <w:rFonts w:ascii="Calibri" w:hAnsi="Calibri" w:cs="Garamond"/>
      <w:color w:val="000000"/>
      <w:szCs w:val="22"/>
      <w:lang w:val="en-GB" w:eastAsia="en-AU"/>
    </w:rPr>
  </w:style>
  <w:style w:type="character" w:customStyle="1" w:styleId="54">
    <w:name w:val="批注文字 Char1"/>
    <w:basedOn w:val="31"/>
    <w:link w:val="10"/>
    <w:uiPriority w:val="99"/>
    <w:rPr>
      <w:rFonts w:ascii="Calibri" w:hAnsi="Calibri" w:eastAsia="宋体" w:cs="Times New Roman"/>
      <w:kern w:val="0"/>
      <w:sz w:val="20"/>
      <w:szCs w:val="20"/>
      <w:lang w:val="zh-CN"/>
    </w:rPr>
  </w:style>
  <w:style w:type="character" w:customStyle="1" w:styleId="55">
    <w:name w:val="脚注文本 Char1"/>
    <w:basedOn w:val="31"/>
    <w:link w:val="22"/>
    <w:uiPriority w:val="99"/>
    <w:rPr>
      <w:rFonts w:ascii="Calibri" w:hAnsi="Calibri" w:eastAsia="宋体" w:cs="Times New Roman"/>
      <w:kern w:val="0"/>
      <w:sz w:val="20"/>
      <w:szCs w:val="20"/>
      <w:lang w:val="zh-CN"/>
    </w:rPr>
  </w:style>
  <w:style w:type="character" w:customStyle="1" w:styleId="56">
    <w:name w:val="tw4winMark"/>
    <w:uiPriority w:val="99"/>
    <w:rPr>
      <w:rFonts w:ascii="Arial" w:hAnsi="Arial"/>
      <w:vanish/>
      <w:color w:val="FF00FF"/>
      <w:sz w:val="24"/>
      <w:vertAlign w:val="subscript"/>
    </w:rPr>
  </w:style>
  <w:style w:type="character" w:customStyle="1" w:styleId="57">
    <w:name w:val="标题 5 Char1"/>
    <w:basedOn w:val="31"/>
    <w:link w:val="6"/>
    <w:uiPriority w:val="9"/>
    <w:rPr>
      <w:rFonts w:ascii="Times New Roman" w:hAnsi="Times New Roman" w:eastAsia="宋体" w:cs="Times New Roman"/>
      <w:b/>
      <w:bCs/>
      <w:kern w:val="0"/>
      <w:sz w:val="24"/>
      <w:szCs w:val="28"/>
    </w:rPr>
  </w:style>
  <w:style w:type="paragraph" w:customStyle="1" w:styleId="58">
    <w:name w:val="Table Paragraph"/>
    <w:basedOn w:val="1"/>
    <w:qFormat/>
    <w:uiPriority w:val="1"/>
    <w:pPr>
      <w:autoSpaceDE w:val="0"/>
      <w:autoSpaceDN w:val="0"/>
      <w:spacing w:line="240" w:lineRule="auto"/>
      <w:ind w:firstLine="0" w:firstLineChars="0"/>
      <w:jc w:val="left"/>
    </w:pPr>
    <w:rPr>
      <w:rFonts w:ascii="Calibri" w:hAnsi="Calibri" w:eastAsia="Calibri" w:cs="Calibri"/>
      <w:sz w:val="22"/>
      <w:szCs w:val="22"/>
      <w:lang w:val="en-IE" w:eastAsia="en-IE" w:bidi="en-IE"/>
    </w:rPr>
  </w:style>
  <w:style w:type="character" w:customStyle="1" w:styleId="59">
    <w:name w:val="尾注文本 Char"/>
    <w:basedOn w:val="31"/>
    <w:link w:val="15"/>
    <w:semiHidden/>
    <w:uiPriority w:val="99"/>
    <w:rPr>
      <w:rFonts w:ascii="Arial" w:hAnsi="Arial" w:eastAsia="宋体" w:cs="Times New Roman"/>
      <w:kern w:val="0"/>
      <w:sz w:val="24"/>
      <w:szCs w:val="24"/>
    </w:rPr>
  </w:style>
  <w:style w:type="character" w:customStyle="1" w:styleId="60">
    <w:name w:val="脚注文本 Char"/>
    <w:semiHidden/>
    <w:uiPriority w:val="99"/>
    <w:rPr>
      <w:kern w:val="2"/>
      <w:sz w:val="18"/>
      <w:szCs w:val="18"/>
    </w:rPr>
  </w:style>
  <w:style w:type="paragraph" w:customStyle="1" w:styleId="61">
    <w:name w:val="Revision"/>
    <w:hidden/>
    <w:semiHidden/>
    <w:uiPriority w:val="99"/>
    <w:rPr>
      <w:rFonts w:ascii="Arial" w:hAnsi="Arial" w:eastAsia="宋体" w:cs="Times New Roman"/>
      <w:kern w:val="0"/>
      <w:sz w:val="24"/>
      <w:szCs w:val="24"/>
      <w:lang w:val="en-US" w:eastAsia="zh-CN" w:bidi="ar-SA"/>
    </w:rPr>
  </w:style>
  <w:style w:type="character" w:customStyle="1" w:styleId="62">
    <w:name w:val="批注主题 Char1"/>
    <w:basedOn w:val="54"/>
    <w:link w:val="28"/>
    <w:semiHidden/>
    <w:uiPriority w:val="99"/>
    <w:rPr>
      <w:rFonts w:ascii="Arial" w:hAnsi="Arial" w:eastAsia="宋体" w:cs="Times New Roman"/>
      <w:b/>
      <w:bCs/>
      <w:kern w:val="0"/>
      <w:sz w:val="24"/>
      <w:szCs w:val="24"/>
      <w:lang w:val="zh-CN"/>
    </w:rPr>
  </w:style>
  <w:style w:type="character" w:customStyle="1" w:styleId="63">
    <w:name w:val="未处理的提及1"/>
    <w:basedOn w:val="31"/>
    <w:semiHidden/>
    <w:unhideWhenUsed/>
    <w:uiPriority w:val="99"/>
    <w:rPr>
      <w:color w:val="605E5C"/>
      <w:shd w:val="clear" w:color="auto" w:fill="E1DFDD"/>
    </w:rPr>
  </w:style>
  <w:style w:type="character" w:customStyle="1" w:styleId="64">
    <w:name w:val="标题 1 Char"/>
    <w:uiPriority w:val="9"/>
    <w:rPr>
      <w:b/>
      <w:bCs/>
      <w:kern w:val="44"/>
      <w:sz w:val="44"/>
      <w:szCs w:val="44"/>
    </w:rPr>
  </w:style>
  <w:style w:type="character" w:customStyle="1" w:styleId="65">
    <w:name w:val="标题 字符"/>
    <w:basedOn w:val="31"/>
    <w:uiPriority w:val="10"/>
    <w:rPr>
      <w:rFonts w:asciiTheme="majorHAnsi" w:hAnsiTheme="majorHAnsi" w:eastAsiaTheme="majorEastAsia" w:cstheme="majorBidi"/>
      <w:b/>
      <w:bCs/>
      <w:kern w:val="0"/>
      <w:sz w:val="32"/>
      <w:szCs w:val="32"/>
    </w:rPr>
  </w:style>
  <w:style w:type="character" w:customStyle="1" w:styleId="66">
    <w:name w:val="标题 Char"/>
    <w:link w:val="27"/>
    <w:uiPriority w:val="10"/>
    <w:rPr>
      <w:rFonts w:ascii="Cambria" w:hAnsi="Cambria" w:eastAsia="宋体" w:cs="Times New Roman"/>
      <w:b/>
      <w:bCs/>
      <w:kern w:val="0"/>
      <w:sz w:val="32"/>
      <w:szCs w:val="32"/>
      <w:lang w:val="zh-CN" w:eastAsia="zh-CN"/>
    </w:rPr>
  </w:style>
  <w:style w:type="character" w:customStyle="1" w:styleId="67">
    <w:name w:val="副标题 字符"/>
    <w:basedOn w:val="31"/>
    <w:uiPriority w:val="11"/>
    <w:rPr>
      <w:b/>
      <w:bCs/>
      <w:kern w:val="28"/>
      <w:sz w:val="32"/>
      <w:szCs w:val="32"/>
    </w:rPr>
  </w:style>
  <w:style w:type="character" w:customStyle="1" w:styleId="68">
    <w:name w:val="副标题 Char"/>
    <w:link w:val="21"/>
    <w:uiPriority w:val="11"/>
    <w:rPr>
      <w:rFonts w:ascii="Cambria" w:hAnsi="Cambria" w:eastAsia="宋体" w:cs="Times New Roman"/>
      <w:b/>
      <w:bCs/>
      <w:kern w:val="28"/>
      <w:sz w:val="32"/>
      <w:szCs w:val="32"/>
      <w:lang w:val="zh-CN" w:eastAsia="zh-CN"/>
    </w:rPr>
  </w:style>
  <w:style w:type="paragraph" w:customStyle="1" w:styleId="69">
    <w:name w:val="1"/>
    <w:basedOn w:val="1"/>
    <w:next w:val="1"/>
    <w:unhideWhenUsed/>
    <w:uiPriority w:val="39"/>
    <w:pPr>
      <w:spacing w:line="240" w:lineRule="auto"/>
      <w:ind w:left="3360" w:leftChars="1600" w:firstLine="0" w:firstLineChars="0"/>
    </w:pPr>
    <w:rPr>
      <w:rFonts w:ascii="Calibri" w:hAnsi="Calibri"/>
      <w:kern w:val="2"/>
      <w:sz w:val="21"/>
      <w:szCs w:val="22"/>
    </w:rPr>
  </w:style>
  <w:style w:type="character" w:customStyle="1" w:styleId="70">
    <w:name w:val="标题 2 Char"/>
    <w:uiPriority w:val="9"/>
    <w:rPr>
      <w:rFonts w:ascii="黑体" w:hAnsi="黑体" w:eastAsia="黑体"/>
      <w:b/>
      <w:bCs/>
      <w:sz w:val="30"/>
      <w:szCs w:val="30"/>
    </w:rPr>
  </w:style>
  <w:style w:type="character" w:customStyle="1" w:styleId="71">
    <w:name w:val="标题 3 Char"/>
    <w:uiPriority w:val="9"/>
    <w:rPr>
      <w:b/>
      <w:bCs/>
      <w:kern w:val="2"/>
      <w:sz w:val="32"/>
      <w:szCs w:val="32"/>
    </w:rPr>
  </w:style>
  <w:style w:type="character" w:customStyle="1" w:styleId="72">
    <w:name w:val="标题 4 Char"/>
    <w:uiPriority w:val="9"/>
    <w:rPr>
      <w:rFonts w:ascii="黑体" w:hAnsi="黑体" w:eastAsia="黑体"/>
      <w:b/>
      <w:bCs/>
      <w:sz w:val="26"/>
      <w:szCs w:val="26"/>
    </w:rPr>
  </w:style>
  <w:style w:type="character" w:customStyle="1" w:styleId="73">
    <w:name w:val="标题 5 Char"/>
    <w:uiPriority w:val="9"/>
    <w:rPr>
      <w:rFonts w:ascii="宋体" w:hAnsi="宋体" w:eastAsia="宋体"/>
      <w:b/>
      <w:bCs/>
      <w:kern w:val="2"/>
      <w:sz w:val="24"/>
      <w:szCs w:val="24"/>
    </w:rPr>
  </w:style>
  <w:style w:type="character" w:customStyle="1" w:styleId="74">
    <w:name w:val="文档结构图 字符"/>
    <w:basedOn w:val="31"/>
    <w:semiHidden/>
    <w:uiPriority w:val="99"/>
    <w:rPr>
      <w:rFonts w:ascii="Microsoft YaHei UI" w:hAnsi="Arial" w:eastAsia="Microsoft YaHei UI" w:cs="Times New Roman"/>
      <w:kern w:val="0"/>
      <w:sz w:val="18"/>
      <w:szCs w:val="18"/>
    </w:rPr>
  </w:style>
  <w:style w:type="character" w:customStyle="1" w:styleId="75">
    <w:name w:val="文档结构图 Char"/>
    <w:link w:val="9"/>
    <w:semiHidden/>
    <w:uiPriority w:val="99"/>
    <w:rPr>
      <w:rFonts w:ascii="宋体" w:hAnsi="Calibri" w:eastAsia="宋体" w:cs="Times New Roman"/>
      <w:kern w:val="0"/>
      <w:sz w:val="18"/>
      <w:szCs w:val="18"/>
      <w:lang w:val="zh-CN" w:eastAsia="zh-CN"/>
    </w:rPr>
  </w:style>
  <w:style w:type="character" w:customStyle="1" w:styleId="76">
    <w:name w:val="页眉 Char"/>
    <w:uiPriority w:val="99"/>
    <w:rPr>
      <w:rFonts w:ascii="Calibri" w:hAnsi="Calibri" w:eastAsia="宋体" w:cs="Times New Roman"/>
      <w:kern w:val="0"/>
      <w:sz w:val="18"/>
      <w:szCs w:val="18"/>
    </w:rPr>
  </w:style>
  <w:style w:type="character" w:customStyle="1" w:styleId="77">
    <w:name w:val="页脚 Char"/>
    <w:uiPriority w:val="99"/>
    <w:rPr>
      <w:rFonts w:ascii="Calibri" w:hAnsi="Calibri" w:eastAsia="宋体" w:cs="Times New Roman"/>
      <w:kern w:val="0"/>
      <w:sz w:val="18"/>
      <w:szCs w:val="18"/>
    </w:rPr>
  </w:style>
  <w:style w:type="character" w:customStyle="1" w:styleId="78">
    <w:name w:val="批注框文本 Char"/>
    <w:semiHidden/>
    <w:uiPriority w:val="99"/>
    <w:rPr>
      <w:rFonts w:ascii="Calibri" w:hAnsi="Calibri" w:eastAsia="宋体" w:cs="Times New Roman"/>
      <w:sz w:val="18"/>
      <w:szCs w:val="18"/>
    </w:rPr>
  </w:style>
  <w:style w:type="character" w:customStyle="1" w:styleId="79">
    <w:name w:val="gongkai_content_2_title1"/>
    <w:uiPriority w:val="0"/>
    <w:rPr>
      <w:rFonts w:hint="eastAsia" w:ascii="黑体" w:hAnsi="黑体" w:eastAsia="黑体"/>
      <w:b/>
      <w:bCs/>
      <w:sz w:val="28"/>
      <w:szCs w:val="28"/>
    </w:rPr>
  </w:style>
  <w:style w:type="character" w:customStyle="1" w:styleId="80">
    <w:name w:val="批注文字 Char"/>
    <w:uiPriority w:val="99"/>
    <w:rPr>
      <w:kern w:val="2"/>
      <w:sz w:val="21"/>
      <w:szCs w:val="22"/>
    </w:rPr>
  </w:style>
  <w:style w:type="character" w:customStyle="1" w:styleId="81">
    <w:name w:val="批注主题 Char"/>
    <w:semiHidden/>
    <w:uiPriority w:val="99"/>
    <w:rPr>
      <w:b/>
      <w:bCs/>
      <w:kern w:val="2"/>
      <w:sz w:val="21"/>
      <w:szCs w:val="22"/>
    </w:rPr>
  </w:style>
  <w:style w:type="paragraph" w:customStyle="1" w:styleId="82">
    <w:name w:val="分子"/>
    <w:basedOn w:val="1"/>
    <w:link w:val="84"/>
    <w:qFormat/>
    <w:uiPriority w:val="0"/>
    <w:pPr>
      <w:spacing w:beforeLines="30" w:line="360" w:lineRule="exact"/>
      <w:ind w:firstLine="510" w:firstLineChars="0"/>
    </w:pPr>
    <w:rPr>
      <w:kern w:val="2"/>
      <w:sz w:val="21"/>
      <w:szCs w:val="21"/>
      <w:lang w:val="zh-CN" w:eastAsia="zh-CN"/>
    </w:rPr>
  </w:style>
  <w:style w:type="paragraph" w:customStyle="1" w:styleId="83">
    <w:name w:val="分母"/>
    <w:basedOn w:val="1"/>
    <w:link w:val="86"/>
    <w:qFormat/>
    <w:uiPriority w:val="0"/>
    <w:pPr>
      <w:spacing w:line="360" w:lineRule="exact"/>
      <w:ind w:firstLine="510" w:firstLineChars="0"/>
    </w:pPr>
    <w:rPr>
      <w:kern w:val="2"/>
      <w:sz w:val="21"/>
      <w:szCs w:val="21"/>
      <w:lang w:val="zh-CN" w:eastAsia="zh-CN"/>
    </w:rPr>
  </w:style>
  <w:style w:type="character" w:customStyle="1" w:styleId="84">
    <w:name w:val="分子 Char"/>
    <w:link w:val="82"/>
    <w:uiPriority w:val="0"/>
    <w:rPr>
      <w:rFonts w:ascii="Times New Roman" w:hAnsi="Times New Roman" w:eastAsia="宋体" w:cs="Times New Roman"/>
      <w:szCs w:val="21"/>
      <w:lang w:val="zh-CN" w:eastAsia="zh-CN"/>
    </w:rPr>
  </w:style>
  <w:style w:type="character" w:customStyle="1" w:styleId="85">
    <w:name w:val="日期 字符"/>
    <w:basedOn w:val="31"/>
    <w:semiHidden/>
    <w:uiPriority w:val="99"/>
    <w:rPr>
      <w:rFonts w:ascii="Arial" w:hAnsi="Arial" w:eastAsia="宋体" w:cs="Times New Roman"/>
      <w:kern w:val="0"/>
      <w:sz w:val="24"/>
      <w:szCs w:val="24"/>
    </w:rPr>
  </w:style>
  <w:style w:type="character" w:customStyle="1" w:styleId="86">
    <w:name w:val="分母 Char"/>
    <w:link w:val="83"/>
    <w:uiPriority w:val="0"/>
    <w:rPr>
      <w:rFonts w:ascii="Times New Roman" w:hAnsi="Times New Roman" w:eastAsia="宋体" w:cs="Times New Roman"/>
      <w:szCs w:val="21"/>
      <w:lang w:val="zh-CN" w:eastAsia="zh-CN"/>
    </w:rPr>
  </w:style>
  <w:style w:type="character" w:customStyle="1" w:styleId="87">
    <w:name w:val="日期 Char"/>
    <w:link w:val="14"/>
    <w:semiHidden/>
    <w:uiPriority w:val="99"/>
    <w:rPr>
      <w:rFonts w:ascii="Calibri" w:hAnsi="Calibri" w:eastAsia="宋体" w:cs="Times New Roman"/>
      <w:lang w:val="zh-CN" w:eastAsia="zh-CN"/>
    </w:rPr>
  </w:style>
  <w:style w:type="paragraph" w:customStyle="1" w:styleId="88">
    <w:name w:val="脚注"/>
    <w:basedOn w:val="22"/>
    <w:link w:val="89"/>
    <w:qFormat/>
    <w:uiPriority w:val="0"/>
    <w:pPr>
      <w:snapToGrid w:val="0"/>
      <w:ind w:firstLine="200" w:firstLineChars="200"/>
    </w:pPr>
    <w:rPr>
      <w:rFonts w:ascii="Times New Roman" w:hAnsi="Times New Roman" w:eastAsia="楷体"/>
      <w:sz w:val="18"/>
    </w:rPr>
  </w:style>
  <w:style w:type="character" w:customStyle="1" w:styleId="89">
    <w:name w:val="脚注 字符"/>
    <w:basedOn w:val="55"/>
    <w:link w:val="88"/>
    <w:uiPriority w:val="0"/>
    <w:rPr>
      <w:rFonts w:ascii="Times New Roman" w:hAnsi="Times New Roman" w:eastAsia="楷体" w:cs="Times New Roman"/>
      <w:kern w:val="0"/>
      <w:sz w:val="18"/>
      <w:szCs w:val="20"/>
      <w:lang w:val="zh-CN"/>
    </w:rPr>
  </w:style>
  <w:style w:type="character" w:customStyle="1" w:styleId="90">
    <w:name w:val="Unresolved Mention"/>
    <w:basedOn w:val="3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752E4-F9AB-4815-9EBB-56E70FD9A7CD}">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12816</Words>
  <Characters>73055</Characters>
  <Lines>608</Lines>
  <Paragraphs>171</Paragraphs>
  <TotalTime>321</TotalTime>
  <ScaleCrop>false</ScaleCrop>
  <LinksUpToDate>false</LinksUpToDate>
  <CharactersWithSpaces>85700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2020-12-20T17:13:00Z</dcterms:created>
  <dc:creator>何春</dc:creator>
  <cp:lastModifiedBy>金话筒小鱼~~~~~</cp:lastModifiedBy>
  <cp:lastPrinted>2021-03-26T02:30:55Z</cp:lastPrinted>
  <dcterms:modified xsi:type="dcterms:W3CDTF">2021-03-26T07:00:52Z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0ce0b872-07f8-3611-adbc-3bcc3bc7a92d</vt:lpwstr>
  </property>
  <property fmtid="{D5CDD505-2E9C-101B-9397-08002B2CF9AE}" pid="24" name="Mendeley Citation Style_1">
    <vt:lpwstr>http://www.zotero.org/styles/apa</vt:lpwstr>
  </property>
  <property fmtid="{D5CDD505-2E9C-101B-9397-08002B2CF9AE}" pid="25" name="KSOProductBuildVer">
    <vt:lpwstr>2052-11.1.0.10314</vt:lpwstr>
  </property>
</Properties>
</file>