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21ACB">
      <w:pPr>
        <w:pStyle w:val="2"/>
        <w:keepNext w:val="0"/>
        <w:keepLines w:val="0"/>
        <w:pageBreakBefore w:val="0"/>
        <w:widowControl w:val="0"/>
        <w:kinsoku/>
        <w:wordWrap/>
        <w:overflowPunct/>
        <w:topLinePunct w:val="0"/>
        <w:autoSpaceDE/>
        <w:autoSpaceDN/>
        <w:bidi w:val="0"/>
        <w:adjustRightInd/>
        <w:snapToGrid/>
        <w:spacing w:line="380" w:lineRule="exact"/>
        <w:ind w:left="2574" w:leftChars="155" w:hanging="2249" w:hangingChars="700"/>
        <w:jc w:val="center"/>
        <w:textAlignment w:val="auto"/>
        <w:rPr>
          <w:rFonts w:hint="eastAsia" w:ascii="宋体" w:hAnsi="宋体"/>
          <w:b/>
          <w:bCs/>
          <w:sz w:val="32"/>
          <w:szCs w:val="32"/>
        </w:rPr>
      </w:pPr>
      <w:r>
        <w:rPr>
          <w:rFonts w:hint="eastAsia" w:ascii="宋体" w:hAnsi="宋体"/>
          <w:b/>
          <w:bCs/>
          <w:sz w:val="32"/>
          <w:szCs w:val="32"/>
          <w:lang w:val="en-US" w:eastAsia="zh-CN"/>
        </w:rPr>
        <w:t>附件一：</w:t>
      </w:r>
      <w:r>
        <w:rPr>
          <w:rFonts w:hint="eastAsia" w:ascii="宋体" w:hAnsi="宋体"/>
          <w:b/>
          <w:bCs/>
          <w:sz w:val="32"/>
          <w:szCs w:val="32"/>
        </w:rPr>
        <w:t>娄底职业技术学院基建预结算咨询中介服务机构</w:t>
      </w:r>
    </w:p>
    <w:p w14:paraId="228F05CD">
      <w:pPr>
        <w:pStyle w:val="2"/>
        <w:keepNext w:val="0"/>
        <w:keepLines w:val="0"/>
        <w:pageBreakBefore w:val="0"/>
        <w:widowControl w:val="0"/>
        <w:kinsoku/>
        <w:wordWrap/>
        <w:overflowPunct/>
        <w:topLinePunct w:val="0"/>
        <w:autoSpaceDE/>
        <w:autoSpaceDN/>
        <w:bidi w:val="0"/>
        <w:adjustRightInd/>
        <w:snapToGrid/>
        <w:spacing w:line="380" w:lineRule="exact"/>
        <w:ind w:left="2574" w:leftChars="155" w:hanging="2249" w:hangingChars="700"/>
        <w:jc w:val="center"/>
        <w:textAlignment w:val="auto"/>
        <w:rPr>
          <w:rFonts w:ascii="宋体" w:hAnsi="宋体"/>
          <w:sz w:val="32"/>
          <w:szCs w:val="32"/>
        </w:rPr>
      </w:pPr>
      <w:r>
        <w:rPr>
          <w:rFonts w:hint="eastAsia" w:ascii="宋体" w:hAnsi="宋体"/>
          <w:b/>
          <w:bCs/>
          <w:sz w:val="32"/>
          <w:szCs w:val="32"/>
        </w:rPr>
        <w:t>框架协议采购</w:t>
      </w:r>
      <w:r>
        <w:rPr>
          <w:rFonts w:hint="eastAsia" w:ascii="宋体" w:hAnsi="宋体"/>
          <w:b/>
          <w:bCs/>
          <w:sz w:val="32"/>
          <w:szCs w:val="32"/>
          <w:lang w:eastAsia="zh-CN"/>
        </w:rPr>
        <w:t>项目</w:t>
      </w:r>
      <w:r>
        <w:rPr>
          <w:rFonts w:hint="eastAsia" w:ascii="宋体" w:hAnsi="宋体"/>
          <w:b/>
          <w:bCs/>
          <w:sz w:val="32"/>
          <w:szCs w:val="32"/>
        </w:rPr>
        <w:t>评审因素和标准</w:t>
      </w:r>
    </w:p>
    <w:tbl>
      <w:tblPr>
        <w:tblStyle w:val="3"/>
        <w:tblW w:w="5505"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8"/>
        <w:gridCol w:w="906"/>
        <w:gridCol w:w="644"/>
        <w:gridCol w:w="506"/>
        <w:gridCol w:w="7009"/>
      </w:tblGrid>
      <w:tr w14:paraId="37C9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atLeast"/>
        </w:trPr>
        <w:tc>
          <w:tcPr>
            <w:tcW w:w="318" w:type="dxa"/>
            <w:tcBorders>
              <w:top w:val="single" w:color="auto" w:sz="4" w:space="0"/>
              <w:left w:val="single" w:color="auto" w:sz="4" w:space="0"/>
              <w:bottom w:val="single" w:color="auto" w:sz="4" w:space="0"/>
              <w:right w:val="single" w:color="auto" w:sz="4" w:space="0"/>
            </w:tcBorders>
            <w:vAlign w:val="center"/>
          </w:tcPr>
          <w:p w14:paraId="47903A36">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1</w:t>
            </w:r>
          </w:p>
        </w:tc>
        <w:tc>
          <w:tcPr>
            <w:tcW w:w="906" w:type="dxa"/>
            <w:tcBorders>
              <w:top w:val="single" w:color="auto" w:sz="4" w:space="0"/>
              <w:left w:val="single" w:color="auto" w:sz="4" w:space="0"/>
              <w:bottom w:val="single" w:color="auto" w:sz="4" w:space="0"/>
              <w:right w:val="single" w:color="auto" w:sz="4" w:space="0"/>
            </w:tcBorders>
            <w:shd w:val="clear" w:color="auto" w:fill="FFFFFF"/>
            <w:vAlign w:val="center"/>
          </w:tcPr>
          <w:p w14:paraId="6D55DF15">
            <w:pPr>
              <w:pStyle w:val="6"/>
              <w:snapToGrid w:val="0"/>
              <w:spacing w:line="360" w:lineRule="exact"/>
              <w:jc w:val="both"/>
              <w:rPr>
                <w:rFonts w:ascii="仿宋" w:hAnsi="仿宋" w:eastAsia="仿宋"/>
                <w:color w:val="000000"/>
                <w:sz w:val="28"/>
                <w:szCs w:val="28"/>
              </w:rPr>
            </w:pPr>
            <w:r>
              <w:rPr>
                <w:rFonts w:hint="eastAsia" w:ascii="仿宋" w:hAnsi="仿宋" w:eastAsia="仿宋"/>
                <w:color w:val="000000"/>
                <w:kern w:val="2"/>
                <w:sz w:val="28"/>
                <w:szCs w:val="28"/>
              </w:rPr>
              <w:t xml:space="preserve">报价  </w:t>
            </w:r>
            <w:r>
              <w:rPr>
                <w:rFonts w:hint="eastAsia" w:ascii="仿宋" w:hAnsi="仿宋" w:eastAsia="仿宋"/>
                <w:color w:val="000000"/>
                <w:kern w:val="2"/>
                <w:sz w:val="28"/>
                <w:szCs w:val="28"/>
                <w:lang w:val="en-US" w:eastAsia="zh-CN"/>
              </w:rPr>
              <w:t>30</w:t>
            </w:r>
            <w:r>
              <w:rPr>
                <w:rFonts w:hint="eastAsia" w:ascii="仿宋" w:hAnsi="仿宋" w:eastAsia="仿宋"/>
                <w:color w:val="000000"/>
                <w:kern w:val="2"/>
                <w:sz w:val="28"/>
                <w:szCs w:val="28"/>
              </w:rPr>
              <w:t>分</w:t>
            </w:r>
          </w:p>
        </w:tc>
        <w:tc>
          <w:tcPr>
            <w:tcW w:w="644" w:type="dxa"/>
            <w:tcBorders>
              <w:top w:val="single" w:color="auto" w:sz="4" w:space="0"/>
              <w:left w:val="single" w:color="auto" w:sz="4" w:space="0"/>
              <w:bottom w:val="single" w:color="auto" w:sz="4" w:space="0"/>
              <w:right w:val="single" w:color="auto" w:sz="4" w:space="0"/>
            </w:tcBorders>
            <w:shd w:val="clear" w:color="auto" w:fill="FFFFFF"/>
            <w:vAlign w:val="center"/>
          </w:tcPr>
          <w:p w14:paraId="51CB95E8">
            <w:pPr>
              <w:pStyle w:val="6"/>
              <w:snapToGrid w:val="0"/>
              <w:spacing w:line="360" w:lineRule="exact"/>
              <w:jc w:val="both"/>
              <w:rPr>
                <w:rFonts w:ascii="仿宋" w:hAnsi="仿宋" w:eastAsia="仿宋"/>
                <w:color w:val="000000"/>
                <w:kern w:val="2"/>
                <w:sz w:val="28"/>
                <w:szCs w:val="28"/>
              </w:rPr>
            </w:pPr>
          </w:p>
        </w:tc>
        <w:tc>
          <w:tcPr>
            <w:tcW w:w="506" w:type="dxa"/>
            <w:tcBorders>
              <w:top w:val="single" w:color="auto" w:sz="4" w:space="0"/>
              <w:left w:val="single" w:color="auto" w:sz="4" w:space="0"/>
              <w:bottom w:val="single" w:color="auto" w:sz="4" w:space="0"/>
              <w:right w:val="single" w:color="auto" w:sz="4" w:space="0"/>
            </w:tcBorders>
            <w:shd w:val="clear" w:color="auto" w:fill="FFFFFF"/>
            <w:vAlign w:val="center"/>
          </w:tcPr>
          <w:p w14:paraId="1419260D">
            <w:pPr>
              <w:snapToGrid w:val="0"/>
              <w:spacing w:line="360" w:lineRule="exact"/>
              <w:ind w:right="-103" w:rightChars="-49"/>
              <w:rPr>
                <w:rFonts w:ascii="仿宋" w:hAnsi="仿宋" w:eastAsia="仿宋"/>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0</w:t>
            </w:r>
          </w:p>
          <w:p w14:paraId="4629E8BF">
            <w:pPr>
              <w:snapToGrid w:val="0"/>
              <w:spacing w:line="360" w:lineRule="exact"/>
              <w:ind w:right="-103" w:rightChars="-49"/>
              <w:rPr>
                <w:rFonts w:ascii="仿宋" w:hAnsi="仿宋" w:eastAsia="仿宋"/>
                <w:color w:val="000000"/>
                <w:sz w:val="28"/>
                <w:szCs w:val="28"/>
              </w:rPr>
            </w:pPr>
            <w:r>
              <w:rPr>
                <w:rFonts w:hint="eastAsia" w:ascii="仿宋" w:hAnsi="仿宋" w:eastAsia="仿宋"/>
                <w:color w:val="000000"/>
                <w:sz w:val="28"/>
                <w:szCs w:val="28"/>
              </w:rPr>
              <w:t>分</w:t>
            </w:r>
          </w:p>
        </w:tc>
        <w:tc>
          <w:tcPr>
            <w:tcW w:w="7009" w:type="dxa"/>
            <w:tcBorders>
              <w:top w:val="single" w:color="auto" w:sz="4" w:space="0"/>
              <w:left w:val="single" w:color="auto" w:sz="4" w:space="0"/>
              <w:bottom w:val="single" w:color="auto" w:sz="4" w:space="0"/>
              <w:right w:val="single" w:color="auto" w:sz="4" w:space="0"/>
            </w:tcBorders>
            <w:shd w:val="clear" w:color="auto" w:fill="FFFFFF"/>
            <w:vAlign w:val="center"/>
          </w:tcPr>
          <w:p w14:paraId="28160F73">
            <w:pPr>
              <w:pStyle w:val="6"/>
              <w:snapToGrid w:val="0"/>
              <w:spacing w:line="360" w:lineRule="exact"/>
              <w:jc w:val="both"/>
              <w:rPr>
                <w:rFonts w:hint="eastAsia" w:ascii="仿宋" w:hAnsi="仿宋" w:eastAsia="仿宋"/>
                <w:color w:val="000000"/>
                <w:kern w:val="2"/>
                <w:sz w:val="28"/>
                <w:szCs w:val="28"/>
                <w:highlight w:val="red"/>
                <w:lang w:eastAsia="zh-CN"/>
              </w:rPr>
            </w:pPr>
            <w:r>
              <w:rPr>
                <w:rFonts w:hint="eastAsia" w:ascii="仿宋" w:hAnsi="仿宋" w:eastAsia="仿宋"/>
                <w:color w:val="000000"/>
                <w:kern w:val="2"/>
                <w:sz w:val="28"/>
                <w:szCs w:val="28"/>
              </w:rPr>
              <w:t>满足磋商文件要求且最后报价最低的供应商的价格为磋商基准价，其价格分为满分。其他供应商的价格分统一按照下列公式计算：</w:t>
            </w:r>
            <w:bookmarkStart w:id="0" w:name="_GoBack"/>
            <w:r>
              <w:rPr>
                <w:rFonts w:hint="eastAsia" w:ascii="仿宋" w:hAnsi="仿宋" w:eastAsia="仿宋"/>
                <w:color w:val="000000"/>
                <w:kern w:val="2"/>
                <w:sz w:val="28"/>
                <w:szCs w:val="28"/>
                <w:highlight w:val="none"/>
              </w:rPr>
              <w:t>报价得分=（基准价/最后报价）×</w:t>
            </w:r>
            <w:r>
              <w:rPr>
                <w:rFonts w:hint="eastAsia" w:ascii="仿宋" w:hAnsi="仿宋" w:eastAsia="仿宋"/>
                <w:color w:val="000000"/>
                <w:kern w:val="2"/>
                <w:sz w:val="28"/>
                <w:szCs w:val="28"/>
                <w:highlight w:val="none"/>
                <w:lang w:val="en-US" w:eastAsia="zh-CN"/>
              </w:rPr>
              <w:t>3</w:t>
            </w:r>
            <w:r>
              <w:rPr>
                <w:rFonts w:hint="eastAsia" w:ascii="仿宋" w:hAnsi="仿宋" w:eastAsia="仿宋"/>
                <w:color w:val="000000"/>
                <w:kern w:val="2"/>
                <w:sz w:val="28"/>
                <w:szCs w:val="28"/>
                <w:highlight w:val="none"/>
              </w:rPr>
              <w:t>0</w:t>
            </w:r>
            <w:r>
              <w:rPr>
                <w:rFonts w:hint="eastAsia" w:ascii="仿宋" w:hAnsi="仿宋" w:eastAsia="仿宋"/>
                <w:color w:val="000000"/>
                <w:kern w:val="2"/>
                <w:sz w:val="28"/>
                <w:szCs w:val="28"/>
                <w:highlight w:val="none"/>
                <w:lang w:eastAsia="zh-CN"/>
              </w:rPr>
              <w:t>，</w:t>
            </w:r>
            <w:r>
              <w:rPr>
                <w:rFonts w:hint="eastAsia" w:ascii="仿宋" w:hAnsi="仿宋" w:eastAsia="仿宋"/>
                <w:color w:val="000000"/>
                <w:kern w:val="2"/>
                <w:sz w:val="28"/>
                <w:szCs w:val="28"/>
                <w:highlight w:val="none"/>
                <w:lang w:val="en-US" w:eastAsia="zh-CN"/>
              </w:rPr>
              <w:t>以优惠下浮率进行报价</w:t>
            </w:r>
            <w:r>
              <w:rPr>
                <w:rFonts w:hint="eastAsia" w:ascii="仿宋" w:hAnsi="仿宋" w:eastAsia="仿宋"/>
                <w:color w:val="000000"/>
                <w:kern w:val="2"/>
                <w:sz w:val="28"/>
                <w:szCs w:val="28"/>
                <w:highlight w:val="none"/>
              </w:rPr>
              <w:t>。</w:t>
            </w:r>
            <w:bookmarkEnd w:id="0"/>
          </w:p>
          <w:p w14:paraId="1CF727EA">
            <w:pPr>
              <w:pStyle w:val="6"/>
              <w:snapToGrid w:val="0"/>
              <w:spacing w:line="360" w:lineRule="exact"/>
              <w:jc w:val="both"/>
              <w:rPr>
                <w:rFonts w:ascii="仿宋" w:hAnsi="仿宋" w:eastAsia="仿宋"/>
                <w:color w:val="000000"/>
                <w:kern w:val="2"/>
                <w:sz w:val="28"/>
                <w:szCs w:val="28"/>
              </w:rPr>
            </w:pPr>
            <w:r>
              <w:rPr>
                <w:rFonts w:hint="eastAsia" w:ascii="仿宋" w:hAnsi="仿宋" w:eastAsia="仿宋"/>
                <w:color w:val="000000"/>
                <w:kern w:val="2"/>
                <w:sz w:val="28"/>
                <w:szCs w:val="28"/>
              </w:rPr>
              <w:t>注:评标委员会认为投标人的报价明显低于其他通过符合性审查投标人的报价,有可能影响产品质量或者不能诚信履约的，应当要求其在评标现证明材料；投标人不能证明其报价合理性的，评标委员会应当将其作为无效投标处理</w:t>
            </w:r>
            <w:r>
              <w:rPr>
                <w:rFonts w:hint="eastAsia" w:ascii="仿宋" w:hAnsi="仿宋" w:eastAsia="仿宋"/>
                <w:color w:val="000000"/>
                <w:kern w:val="2"/>
                <w:sz w:val="28"/>
                <w:szCs w:val="28"/>
                <w:lang w:eastAsia="zh-CN"/>
              </w:rPr>
              <w:t>，</w:t>
            </w:r>
          </w:p>
        </w:tc>
      </w:tr>
      <w:tr w14:paraId="46C6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318" w:type="dxa"/>
            <w:vMerge w:val="restart"/>
            <w:tcBorders>
              <w:top w:val="nil"/>
              <w:left w:val="single" w:color="auto" w:sz="4" w:space="0"/>
              <w:bottom w:val="single" w:color="auto" w:sz="4" w:space="0"/>
              <w:right w:val="single" w:color="auto" w:sz="4" w:space="0"/>
            </w:tcBorders>
            <w:shd w:val="clear" w:color="auto" w:fill="FFFFFF"/>
            <w:vAlign w:val="center"/>
          </w:tcPr>
          <w:p w14:paraId="31CCB97C">
            <w:pPr>
              <w:snapToGrid w:val="0"/>
              <w:spacing w:line="3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1</w:t>
            </w:r>
          </w:p>
        </w:tc>
        <w:tc>
          <w:tcPr>
            <w:tcW w:w="906" w:type="dxa"/>
            <w:vMerge w:val="restart"/>
            <w:tcBorders>
              <w:top w:val="nil"/>
              <w:left w:val="single" w:color="auto" w:sz="4" w:space="0"/>
              <w:bottom w:val="single" w:color="auto" w:sz="4" w:space="0"/>
              <w:right w:val="single" w:color="auto" w:sz="4" w:space="0"/>
            </w:tcBorders>
            <w:shd w:val="clear" w:color="auto" w:fill="FFFFFF"/>
            <w:vAlign w:val="center"/>
          </w:tcPr>
          <w:p w14:paraId="2B8DB5A1">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商务服务</w:t>
            </w:r>
            <w:r>
              <w:rPr>
                <w:rFonts w:hint="eastAsia" w:ascii="仿宋" w:hAnsi="仿宋" w:eastAsia="仿宋"/>
                <w:color w:val="000000"/>
                <w:sz w:val="28"/>
                <w:szCs w:val="28"/>
                <w:lang w:val="en-US" w:eastAsia="zh-CN"/>
              </w:rPr>
              <w:t>7</w:t>
            </w:r>
            <w:r>
              <w:rPr>
                <w:rFonts w:hint="eastAsia" w:ascii="仿宋" w:hAnsi="仿宋" w:eastAsia="仿宋"/>
                <w:color w:val="000000"/>
                <w:sz w:val="28"/>
                <w:szCs w:val="28"/>
              </w:rPr>
              <w:t>0分</w:t>
            </w:r>
          </w:p>
        </w:tc>
        <w:tc>
          <w:tcPr>
            <w:tcW w:w="644" w:type="dxa"/>
            <w:tcBorders>
              <w:top w:val="single" w:color="auto" w:sz="4" w:space="0"/>
              <w:left w:val="single" w:color="auto" w:sz="4" w:space="0"/>
              <w:bottom w:val="single" w:color="auto" w:sz="4" w:space="0"/>
              <w:right w:val="single" w:color="auto" w:sz="4" w:space="0"/>
            </w:tcBorders>
            <w:shd w:val="clear" w:color="auto" w:fill="FFFFFF"/>
            <w:vAlign w:val="center"/>
          </w:tcPr>
          <w:p w14:paraId="6C649571">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类似</w:t>
            </w:r>
          </w:p>
          <w:p w14:paraId="418DDF24">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业绩</w:t>
            </w:r>
          </w:p>
        </w:tc>
        <w:tc>
          <w:tcPr>
            <w:tcW w:w="506" w:type="dxa"/>
            <w:tcBorders>
              <w:top w:val="single" w:color="auto" w:sz="4" w:space="0"/>
              <w:left w:val="single" w:color="auto" w:sz="4" w:space="0"/>
              <w:bottom w:val="single" w:color="auto" w:sz="4" w:space="0"/>
              <w:right w:val="single" w:color="auto" w:sz="4" w:space="0"/>
            </w:tcBorders>
            <w:shd w:val="clear" w:color="auto" w:fill="FFFFFF"/>
            <w:vAlign w:val="center"/>
          </w:tcPr>
          <w:p w14:paraId="2506AEB8">
            <w:pPr>
              <w:snapToGrid w:val="0"/>
              <w:spacing w:line="360" w:lineRule="exact"/>
              <w:rPr>
                <w:rFonts w:ascii="仿宋" w:hAnsi="仿宋" w:eastAsia="仿宋"/>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0分</w:t>
            </w:r>
          </w:p>
        </w:tc>
        <w:tc>
          <w:tcPr>
            <w:tcW w:w="7009" w:type="dxa"/>
            <w:tcBorders>
              <w:top w:val="single" w:color="auto" w:sz="4" w:space="0"/>
              <w:left w:val="single" w:color="auto" w:sz="4" w:space="0"/>
              <w:bottom w:val="single" w:color="auto" w:sz="4" w:space="0"/>
              <w:right w:val="single" w:color="auto" w:sz="4" w:space="0"/>
            </w:tcBorders>
            <w:shd w:val="clear" w:color="auto" w:fill="FFFFFF"/>
            <w:vAlign w:val="center"/>
          </w:tcPr>
          <w:p w14:paraId="7D68DC5A">
            <w:pPr>
              <w:snapToGrid w:val="0"/>
              <w:spacing w:line="36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投标人提供不少于2个</w:t>
            </w:r>
            <w:r>
              <w:rPr>
                <w:rFonts w:hint="eastAsia" w:ascii="仿宋" w:hAnsi="仿宋" w:eastAsia="仿宋" w:cs="Times New Roman"/>
                <w:color w:val="000000"/>
                <w:sz w:val="28"/>
                <w:szCs w:val="28"/>
              </w:rPr>
              <w:t>202</w:t>
            </w:r>
            <w:r>
              <w:rPr>
                <w:rFonts w:hint="eastAsia" w:ascii="仿宋" w:hAnsi="仿宋" w:eastAsia="仿宋" w:cs="Times New Roman"/>
                <w:color w:val="000000"/>
                <w:sz w:val="28"/>
                <w:szCs w:val="28"/>
                <w:lang w:val="en-US" w:eastAsia="zh-CN"/>
              </w:rPr>
              <w:t>3</w:t>
            </w:r>
            <w:r>
              <w:rPr>
                <w:rFonts w:hint="eastAsia" w:ascii="仿宋" w:hAnsi="仿宋" w:eastAsia="仿宋" w:cs="Times New Roman"/>
                <w:color w:val="000000"/>
                <w:sz w:val="28"/>
                <w:szCs w:val="28"/>
              </w:rPr>
              <w:t xml:space="preserve"> 年 </w:t>
            </w:r>
            <w:r>
              <w:rPr>
                <w:rFonts w:hint="eastAsia" w:ascii="仿宋" w:hAnsi="仿宋" w:eastAsia="仿宋" w:cs="Times New Roman"/>
                <w:color w:val="000000"/>
                <w:sz w:val="28"/>
                <w:szCs w:val="28"/>
                <w:lang w:val="en-US" w:eastAsia="zh-CN"/>
              </w:rPr>
              <w:t>1</w:t>
            </w:r>
            <w:r>
              <w:rPr>
                <w:rFonts w:hint="eastAsia" w:ascii="仿宋" w:hAnsi="仿宋" w:eastAsia="仿宋" w:cs="Times New Roman"/>
                <w:color w:val="000000"/>
                <w:sz w:val="28"/>
                <w:szCs w:val="28"/>
              </w:rPr>
              <w:t>月以来（以合同签订时间为准）的工程造价 100 万元及以上审计类似业绩（</w:t>
            </w:r>
            <w:r>
              <w:rPr>
                <w:rFonts w:hint="eastAsia" w:ascii="仿宋" w:hAnsi="仿宋" w:eastAsia="仿宋" w:cs="Times New Roman"/>
                <w:color w:val="000000"/>
                <w:sz w:val="28"/>
                <w:szCs w:val="28"/>
                <w:lang w:eastAsia="zh-CN"/>
              </w:rPr>
              <w:t>注：</w:t>
            </w:r>
            <w:r>
              <w:rPr>
                <w:rFonts w:hint="eastAsia" w:ascii="仿宋" w:hAnsi="仿宋" w:eastAsia="仿宋" w:cs="Times New Roman"/>
                <w:color w:val="000000"/>
                <w:sz w:val="28"/>
                <w:szCs w:val="28"/>
              </w:rPr>
              <w:t>需提供合同协议书</w:t>
            </w:r>
            <w:r>
              <w:rPr>
                <w:rFonts w:hint="eastAsia" w:ascii="仿宋" w:hAnsi="仿宋" w:eastAsia="仿宋" w:cs="Times New Roman"/>
                <w:color w:val="000000"/>
                <w:sz w:val="28"/>
                <w:szCs w:val="28"/>
                <w:lang w:eastAsia="zh-CN"/>
              </w:rPr>
              <w:t>或</w:t>
            </w:r>
            <w:r>
              <w:rPr>
                <w:rFonts w:hint="eastAsia" w:ascii="仿宋" w:hAnsi="仿宋" w:eastAsia="仿宋" w:cs="Times New Roman"/>
                <w:color w:val="000000"/>
                <w:sz w:val="28"/>
                <w:szCs w:val="28"/>
              </w:rPr>
              <w:t>中标通知书复印件</w:t>
            </w:r>
            <w:r>
              <w:rPr>
                <w:rFonts w:hint="eastAsia" w:ascii="仿宋" w:hAnsi="仿宋" w:eastAsia="仿宋" w:cs="Times New Roman"/>
                <w:color w:val="000000"/>
                <w:sz w:val="28"/>
                <w:szCs w:val="28"/>
                <w:lang w:eastAsia="zh-CN"/>
              </w:rPr>
              <w:t>，否则不予计分</w:t>
            </w:r>
            <w:r>
              <w:rPr>
                <w:rFonts w:hint="eastAsia" w:ascii="仿宋" w:hAnsi="仿宋" w:eastAsia="仿宋" w:cs="Times New Roman"/>
                <w:color w:val="000000"/>
                <w:sz w:val="28"/>
                <w:szCs w:val="28"/>
              </w:rPr>
              <w:t>）</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lang w:val="en-US" w:eastAsia="zh-CN"/>
              </w:rPr>
              <w:t xml:space="preserve">  </w:t>
            </w:r>
          </w:p>
        </w:tc>
      </w:tr>
      <w:tr w14:paraId="497A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atLeast"/>
        </w:trPr>
        <w:tc>
          <w:tcPr>
            <w:tcW w:w="318" w:type="dxa"/>
            <w:vMerge w:val="continue"/>
            <w:tcBorders>
              <w:top w:val="nil"/>
              <w:left w:val="single" w:color="auto" w:sz="4" w:space="0"/>
              <w:bottom w:val="single" w:color="auto" w:sz="4" w:space="0"/>
              <w:right w:val="single" w:color="auto" w:sz="4" w:space="0"/>
            </w:tcBorders>
            <w:vAlign w:val="center"/>
          </w:tcPr>
          <w:p w14:paraId="2076C136">
            <w:pPr>
              <w:widowControl/>
              <w:jc w:val="left"/>
              <w:rPr>
                <w:rFonts w:ascii="仿宋" w:hAnsi="仿宋" w:eastAsia="仿宋"/>
                <w:color w:val="000000"/>
                <w:sz w:val="28"/>
                <w:szCs w:val="28"/>
              </w:rPr>
            </w:pPr>
          </w:p>
        </w:tc>
        <w:tc>
          <w:tcPr>
            <w:tcW w:w="906" w:type="dxa"/>
            <w:vMerge w:val="continue"/>
            <w:tcBorders>
              <w:top w:val="nil"/>
              <w:left w:val="single" w:color="auto" w:sz="4" w:space="0"/>
              <w:bottom w:val="single" w:color="auto" w:sz="4" w:space="0"/>
              <w:right w:val="single" w:color="auto" w:sz="4" w:space="0"/>
            </w:tcBorders>
            <w:vAlign w:val="center"/>
          </w:tcPr>
          <w:p w14:paraId="6E1D7A3D">
            <w:pPr>
              <w:widowControl/>
              <w:jc w:val="left"/>
              <w:rPr>
                <w:rFonts w:ascii="仿宋" w:hAnsi="仿宋" w:eastAsia="仿宋"/>
                <w:color w:val="000000"/>
                <w:sz w:val="28"/>
                <w:szCs w:val="28"/>
              </w:rPr>
            </w:pPr>
          </w:p>
        </w:tc>
        <w:tc>
          <w:tcPr>
            <w:tcW w:w="644" w:type="dxa"/>
            <w:tcBorders>
              <w:top w:val="single" w:color="auto" w:sz="4" w:space="0"/>
              <w:left w:val="single" w:color="auto" w:sz="4" w:space="0"/>
              <w:bottom w:val="single" w:color="auto" w:sz="4" w:space="0"/>
              <w:right w:val="single" w:color="auto" w:sz="4" w:space="0"/>
            </w:tcBorders>
            <w:shd w:val="clear" w:color="auto" w:fill="FFFFFF"/>
            <w:vAlign w:val="center"/>
          </w:tcPr>
          <w:p w14:paraId="47AE6CB3">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人员</w:t>
            </w:r>
          </w:p>
          <w:p w14:paraId="6EFA3989">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配备</w:t>
            </w:r>
          </w:p>
        </w:tc>
        <w:tc>
          <w:tcPr>
            <w:tcW w:w="506" w:type="dxa"/>
            <w:tcBorders>
              <w:top w:val="single" w:color="auto" w:sz="4" w:space="0"/>
              <w:left w:val="single" w:color="auto" w:sz="4" w:space="0"/>
              <w:bottom w:val="single" w:color="auto" w:sz="4" w:space="0"/>
              <w:right w:val="single" w:color="auto" w:sz="4" w:space="0"/>
            </w:tcBorders>
            <w:shd w:val="clear" w:color="auto" w:fill="FFFFFF"/>
            <w:vAlign w:val="center"/>
          </w:tcPr>
          <w:p w14:paraId="2364F564">
            <w:pPr>
              <w:snapToGrid w:val="0"/>
              <w:spacing w:line="360" w:lineRule="exact"/>
              <w:rPr>
                <w:rFonts w:ascii="仿宋" w:hAnsi="仿宋" w:eastAsia="仿宋"/>
                <w:color w:val="000000"/>
                <w:sz w:val="28"/>
                <w:szCs w:val="28"/>
              </w:rPr>
            </w:pPr>
            <w:r>
              <w:rPr>
                <w:rFonts w:hint="eastAsia" w:ascii="仿宋" w:hAnsi="仿宋" w:eastAsia="仿宋"/>
                <w:color w:val="000000"/>
                <w:sz w:val="28"/>
                <w:szCs w:val="28"/>
                <w:lang w:val="en-US" w:eastAsia="zh-CN"/>
              </w:rPr>
              <w:t>30</w:t>
            </w:r>
            <w:r>
              <w:rPr>
                <w:rFonts w:hint="eastAsia" w:ascii="仿宋" w:hAnsi="仿宋" w:eastAsia="仿宋"/>
                <w:color w:val="000000"/>
                <w:sz w:val="28"/>
                <w:szCs w:val="28"/>
              </w:rPr>
              <w:t>分</w:t>
            </w:r>
          </w:p>
        </w:tc>
        <w:tc>
          <w:tcPr>
            <w:tcW w:w="7009" w:type="dxa"/>
            <w:tcBorders>
              <w:top w:val="single" w:color="auto" w:sz="4" w:space="0"/>
              <w:left w:val="single" w:color="auto" w:sz="4" w:space="0"/>
              <w:bottom w:val="single" w:color="auto" w:sz="4" w:space="0"/>
              <w:right w:val="single" w:color="auto" w:sz="4" w:space="0"/>
            </w:tcBorders>
            <w:shd w:val="clear" w:color="auto" w:fill="FFFFFF"/>
            <w:vAlign w:val="center"/>
          </w:tcPr>
          <w:p w14:paraId="0EF3BF05">
            <w:pPr>
              <w:snapToGrid w:val="0"/>
              <w:spacing w:line="36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rPr>
              <w:t>拟配备的</w:t>
            </w:r>
            <w:r>
              <w:rPr>
                <w:rFonts w:hint="eastAsia" w:ascii="仿宋" w:hAnsi="仿宋" w:eastAsia="仿宋" w:cs="Times New Roman"/>
                <w:color w:val="000000"/>
                <w:sz w:val="28"/>
                <w:szCs w:val="28"/>
                <w:lang w:val="en-US" w:eastAsia="zh-CN"/>
              </w:rPr>
              <w:t>服务团队不少于4人，拟派项目负责人具有国家建设行政主管部门颁发的壹级注册造价工程师证书，拟派项目组其它成员须具备壹级注册造价工程师最少2人</w:t>
            </w:r>
            <w:r>
              <w:rPr>
                <w:rFonts w:hint="eastAsia" w:ascii="仿宋" w:hAnsi="仿宋" w:eastAsia="仿宋" w:cs="Times New Roman"/>
                <w:color w:val="000000"/>
                <w:sz w:val="28"/>
                <w:szCs w:val="28"/>
              </w:rPr>
              <w:t>（投标文件中须提供</w:t>
            </w:r>
            <w:r>
              <w:rPr>
                <w:rFonts w:hint="eastAsia" w:ascii="仿宋" w:hAnsi="仿宋" w:eastAsia="仿宋" w:cs="Times New Roman"/>
                <w:color w:val="000000"/>
                <w:sz w:val="28"/>
                <w:szCs w:val="28"/>
                <w:lang w:val="en-US" w:eastAsia="zh-CN"/>
              </w:rPr>
              <w:t>执业证书、注册在入围单位的注册证书、 二代身份证、劳动合同及2025年 7月以来本单位为其缴纳的任意连续 6 个月的社保证明，</w:t>
            </w:r>
            <w:r>
              <w:rPr>
                <w:rFonts w:hint="eastAsia" w:ascii="仿宋" w:hAnsi="仿宋" w:eastAsia="仿宋" w:cs="Times New Roman"/>
                <w:color w:val="000000"/>
                <w:sz w:val="28"/>
                <w:szCs w:val="28"/>
              </w:rPr>
              <w:t>否则不计分）</w:t>
            </w:r>
            <w:r>
              <w:rPr>
                <w:rFonts w:hint="eastAsia" w:ascii="仿宋" w:hAnsi="仿宋" w:eastAsia="仿宋" w:cs="Times New Roman"/>
                <w:color w:val="000000"/>
                <w:sz w:val="28"/>
                <w:szCs w:val="28"/>
                <w:lang w:eastAsia="zh-CN"/>
              </w:rPr>
              <w:t>。</w:t>
            </w:r>
          </w:p>
        </w:tc>
      </w:tr>
      <w:tr w14:paraId="67E1C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318" w:type="dxa"/>
            <w:vMerge w:val="continue"/>
            <w:tcBorders>
              <w:top w:val="nil"/>
              <w:left w:val="single" w:color="auto" w:sz="4" w:space="0"/>
              <w:bottom w:val="single" w:color="auto" w:sz="4" w:space="0"/>
              <w:right w:val="single" w:color="auto" w:sz="4" w:space="0"/>
            </w:tcBorders>
            <w:vAlign w:val="center"/>
          </w:tcPr>
          <w:p w14:paraId="5326D202">
            <w:pPr>
              <w:widowControl/>
              <w:jc w:val="left"/>
              <w:rPr>
                <w:rFonts w:ascii="仿宋" w:hAnsi="仿宋" w:eastAsia="仿宋"/>
                <w:color w:val="000000"/>
                <w:sz w:val="28"/>
                <w:szCs w:val="28"/>
              </w:rPr>
            </w:pPr>
          </w:p>
        </w:tc>
        <w:tc>
          <w:tcPr>
            <w:tcW w:w="906" w:type="dxa"/>
            <w:vMerge w:val="continue"/>
            <w:tcBorders>
              <w:top w:val="nil"/>
              <w:left w:val="single" w:color="auto" w:sz="4" w:space="0"/>
              <w:bottom w:val="single" w:color="auto" w:sz="4" w:space="0"/>
              <w:right w:val="single" w:color="auto" w:sz="4" w:space="0"/>
            </w:tcBorders>
            <w:vAlign w:val="center"/>
          </w:tcPr>
          <w:p w14:paraId="2CE23FC9">
            <w:pPr>
              <w:widowControl/>
              <w:jc w:val="left"/>
              <w:rPr>
                <w:rFonts w:ascii="仿宋" w:hAnsi="仿宋" w:eastAsia="仿宋"/>
                <w:color w:val="000000"/>
                <w:sz w:val="28"/>
                <w:szCs w:val="28"/>
              </w:rPr>
            </w:pPr>
          </w:p>
        </w:tc>
        <w:tc>
          <w:tcPr>
            <w:tcW w:w="644" w:type="dxa"/>
            <w:tcBorders>
              <w:top w:val="single" w:color="auto" w:sz="4" w:space="0"/>
              <w:left w:val="single" w:color="auto" w:sz="4" w:space="0"/>
              <w:bottom w:val="single" w:color="auto" w:sz="4" w:space="0"/>
              <w:right w:val="single" w:color="auto" w:sz="4" w:space="0"/>
            </w:tcBorders>
            <w:shd w:val="clear" w:color="auto" w:fill="FFFFFF"/>
            <w:vAlign w:val="center"/>
          </w:tcPr>
          <w:p w14:paraId="71AC4299">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服务</w:t>
            </w:r>
          </w:p>
          <w:p w14:paraId="53AA1687">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承诺</w:t>
            </w:r>
          </w:p>
        </w:tc>
        <w:tc>
          <w:tcPr>
            <w:tcW w:w="506" w:type="dxa"/>
            <w:tcBorders>
              <w:top w:val="single" w:color="auto" w:sz="4" w:space="0"/>
              <w:left w:val="single" w:color="auto" w:sz="4" w:space="0"/>
              <w:bottom w:val="single" w:color="auto" w:sz="4" w:space="0"/>
              <w:right w:val="single" w:color="auto" w:sz="4" w:space="0"/>
            </w:tcBorders>
            <w:shd w:val="clear" w:color="auto" w:fill="FFFFFF"/>
            <w:vAlign w:val="center"/>
          </w:tcPr>
          <w:p w14:paraId="1F00FB32">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6分</w:t>
            </w:r>
          </w:p>
        </w:tc>
        <w:tc>
          <w:tcPr>
            <w:tcW w:w="7009" w:type="dxa"/>
            <w:tcBorders>
              <w:top w:val="single" w:color="auto" w:sz="4" w:space="0"/>
              <w:left w:val="single" w:color="auto" w:sz="4" w:space="0"/>
              <w:bottom w:val="single" w:color="auto" w:sz="4" w:space="0"/>
              <w:right w:val="single" w:color="auto" w:sz="4" w:space="0"/>
            </w:tcBorders>
            <w:shd w:val="clear" w:color="auto" w:fill="FFFFFF"/>
            <w:vAlign w:val="center"/>
          </w:tcPr>
          <w:p w14:paraId="21909538">
            <w:pPr>
              <w:pStyle w:val="6"/>
              <w:snapToGrid w:val="0"/>
              <w:spacing w:line="360" w:lineRule="exact"/>
              <w:jc w:val="both"/>
              <w:rPr>
                <w:rFonts w:hint="eastAsia" w:ascii="仿宋" w:hAnsi="仿宋" w:eastAsia="仿宋"/>
                <w:color w:val="000000"/>
                <w:sz w:val="28"/>
                <w:szCs w:val="28"/>
                <w:lang w:eastAsia="zh-CN"/>
              </w:rPr>
            </w:pPr>
            <w:r>
              <w:rPr>
                <w:rFonts w:hint="eastAsia" w:ascii="仿宋" w:hAnsi="仿宋" w:eastAsia="仿宋"/>
                <w:color w:val="000000"/>
                <w:kern w:val="2"/>
                <w:sz w:val="28"/>
                <w:szCs w:val="28"/>
              </w:rPr>
              <w:t>1.服从发包人的工作安排，提供基本质量保证方面的承诺；2.提供后续服务咨询和增值服务承诺3.审计任务完成后，提供与后续跟进单位的工作衔接、业务交流、资料共享等承诺。每1项计2分。未提供的不计分</w:t>
            </w:r>
            <w:r>
              <w:rPr>
                <w:rFonts w:hint="eastAsia" w:ascii="仿宋" w:hAnsi="仿宋" w:eastAsia="仿宋"/>
                <w:color w:val="000000"/>
                <w:sz w:val="28"/>
                <w:szCs w:val="28"/>
              </w:rPr>
              <w:t>（投标人必须提供相关承诺资料并加盖投标人单位公章，格式自拟，否则不计分）</w:t>
            </w:r>
            <w:r>
              <w:rPr>
                <w:rFonts w:hint="eastAsia" w:ascii="仿宋" w:hAnsi="仿宋" w:eastAsia="仿宋"/>
                <w:color w:val="000000"/>
                <w:sz w:val="28"/>
                <w:szCs w:val="28"/>
                <w:lang w:eastAsia="zh-CN"/>
              </w:rPr>
              <w:t>。</w:t>
            </w:r>
          </w:p>
        </w:tc>
      </w:tr>
      <w:tr w14:paraId="72E4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318" w:type="dxa"/>
            <w:vMerge w:val="continue"/>
            <w:tcBorders>
              <w:top w:val="nil"/>
              <w:left w:val="single" w:color="auto" w:sz="4" w:space="0"/>
              <w:bottom w:val="single" w:color="auto" w:sz="4" w:space="0"/>
              <w:right w:val="single" w:color="auto" w:sz="4" w:space="0"/>
            </w:tcBorders>
            <w:vAlign w:val="center"/>
          </w:tcPr>
          <w:p w14:paraId="14F77D4C">
            <w:pPr>
              <w:widowControl/>
              <w:jc w:val="left"/>
              <w:rPr>
                <w:rFonts w:ascii="仿宋" w:hAnsi="仿宋" w:eastAsia="仿宋"/>
                <w:color w:val="000000"/>
                <w:sz w:val="28"/>
                <w:szCs w:val="28"/>
              </w:rPr>
            </w:pPr>
          </w:p>
        </w:tc>
        <w:tc>
          <w:tcPr>
            <w:tcW w:w="906" w:type="dxa"/>
            <w:vMerge w:val="continue"/>
            <w:tcBorders>
              <w:top w:val="nil"/>
              <w:left w:val="single" w:color="auto" w:sz="4" w:space="0"/>
              <w:bottom w:val="single" w:color="auto" w:sz="4" w:space="0"/>
              <w:right w:val="single" w:color="auto" w:sz="4" w:space="0"/>
            </w:tcBorders>
            <w:vAlign w:val="center"/>
          </w:tcPr>
          <w:p w14:paraId="7F12D4A9">
            <w:pPr>
              <w:widowControl/>
              <w:jc w:val="left"/>
              <w:rPr>
                <w:rFonts w:ascii="仿宋" w:hAnsi="仿宋" w:eastAsia="仿宋"/>
                <w:color w:val="000000"/>
                <w:sz w:val="28"/>
                <w:szCs w:val="28"/>
              </w:rPr>
            </w:pPr>
          </w:p>
        </w:tc>
        <w:tc>
          <w:tcPr>
            <w:tcW w:w="644" w:type="dxa"/>
            <w:tcBorders>
              <w:top w:val="single" w:color="auto" w:sz="4" w:space="0"/>
              <w:left w:val="single" w:color="auto" w:sz="4" w:space="0"/>
              <w:bottom w:val="single" w:color="auto" w:sz="4" w:space="0"/>
              <w:right w:val="single" w:color="auto" w:sz="4" w:space="0"/>
            </w:tcBorders>
            <w:shd w:val="clear" w:color="auto" w:fill="FFFFFF"/>
            <w:vAlign w:val="center"/>
          </w:tcPr>
          <w:p w14:paraId="4F6D4DB4">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投标文件格式</w:t>
            </w:r>
          </w:p>
        </w:tc>
        <w:tc>
          <w:tcPr>
            <w:tcW w:w="506" w:type="dxa"/>
            <w:tcBorders>
              <w:top w:val="single" w:color="auto" w:sz="4" w:space="0"/>
              <w:left w:val="single" w:color="auto" w:sz="4" w:space="0"/>
              <w:bottom w:val="single" w:color="auto" w:sz="4" w:space="0"/>
              <w:right w:val="single" w:color="auto" w:sz="4" w:space="0"/>
            </w:tcBorders>
            <w:shd w:val="clear" w:color="auto" w:fill="FFFFFF"/>
            <w:vAlign w:val="center"/>
          </w:tcPr>
          <w:p w14:paraId="05A97B09">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4分</w:t>
            </w:r>
          </w:p>
        </w:tc>
        <w:tc>
          <w:tcPr>
            <w:tcW w:w="7009" w:type="dxa"/>
            <w:tcBorders>
              <w:top w:val="single" w:color="auto" w:sz="4" w:space="0"/>
              <w:left w:val="single" w:color="auto" w:sz="4" w:space="0"/>
              <w:bottom w:val="single" w:color="auto" w:sz="4" w:space="0"/>
              <w:right w:val="single" w:color="auto" w:sz="4" w:space="0"/>
            </w:tcBorders>
            <w:shd w:val="clear" w:color="auto" w:fill="FFFFFF"/>
            <w:vAlign w:val="center"/>
          </w:tcPr>
          <w:p w14:paraId="78450AE8">
            <w:pPr>
              <w:snapToGrid w:val="0"/>
              <w:spacing w:line="360" w:lineRule="exact"/>
              <w:rPr>
                <w:rFonts w:ascii="仿宋" w:hAnsi="仿宋" w:eastAsia="仿宋"/>
                <w:color w:val="000000"/>
                <w:sz w:val="28"/>
                <w:szCs w:val="28"/>
              </w:rPr>
            </w:pPr>
            <w:r>
              <w:rPr>
                <w:rFonts w:hint="eastAsia" w:ascii="仿宋" w:hAnsi="仿宋" w:eastAsia="仿宋"/>
                <w:color w:val="000000"/>
                <w:sz w:val="28"/>
                <w:szCs w:val="28"/>
              </w:rPr>
              <w:t>投标文件按招标文件规定的格式顺序编制、有目录、编页码、胶装成册，计4分。符合要求计4分。不符合要求的，每处扣1分。</w:t>
            </w:r>
          </w:p>
        </w:tc>
      </w:tr>
    </w:tbl>
    <w:p w14:paraId="7E1637DC">
      <w:pPr>
        <w:snapToGrid w:val="0"/>
        <w:spacing w:line="560" w:lineRule="exact"/>
        <w:ind w:firstLine="1124" w:firstLineChars="400"/>
        <w:rPr>
          <w:rFonts w:hint="eastAsia" w:ascii="宋体" w:hAnsi="宋体"/>
          <w:b/>
          <w:bCs/>
          <w:color w:val="000000"/>
          <w:sz w:val="28"/>
          <w:szCs w:val="28"/>
        </w:rPr>
      </w:pPr>
      <w:r>
        <w:rPr>
          <w:rFonts w:hint="eastAsia" w:ascii="宋体" w:hAnsi="宋体"/>
          <w:b/>
          <w:bCs/>
          <w:color w:val="000000"/>
          <w:sz w:val="28"/>
          <w:szCs w:val="28"/>
        </w:rPr>
        <w:t xml:space="preserve"> </w:t>
      </w:r>
    </w:p>
    <w:p w14:paraId="74445AB8">
      <w:pPr>
        <w:snapToGrid w:val="0"/>
        <w:spacing w:line="560" w:lineRule="exact"/>
        <w:ind w:firstLine="1124" w:firstLineChars="400"/>
        <w:rPr>
          <w:rFonts w:hint="eastAsia" w:ascii="宋体" w:hAnsi="宋体"/>
          <w:b/>
          <w:bCs/>
          <w:color w:val="000000"/>
          <w:sz w:val="28"/>
          <w:szCs w:val="28"/>
        </w:rPr>
      </w:pPr>
      <w:r>
        <w:rPr>
          <w:rFonts w:hint="eastAsia" w:ascii="宋体" w:hAnsi="宋体"/>
          <w:b/>
          <w:bCs/>
          <w:color w:val="000000"/>
          <w:sz w:val="28"/>
          <w:szCs w:val="28"/>
        </w:rPr>
        <w:t xml:space="preserve"> </w:t>
      </w:r>
    </w:p>
    <w:p w14:paraId="2D6B3E56">
      <w:pPr>
        <w:snapToGrid w:val="0"/>
        <w:spacing w:line="560" w:lineRule="exact"/>
        <w:ind w:firstLine="1124" w:firstLineChars="400"/>
        <w:rPr>
          <w:rFonts w:hint="eastAsia" w:ascii="宋体" w:hAnsi="宋体"/>
          <w:b/>
          <w:bCs/>
          <w:color w:val="000000"/>
          <w:sz w:val="28"/>
          <w:szCs w:val="28"/>
        </w:rPr>
      </w:pPr>
      <w:r>
        <w:rPr>
          <w:rFonts w:hint="eastAsia" w:ascii="宋体" w:hAnsi="宋体"/>
          <w:b/>
          <w:bCs/>
          <w:color w:val="000000"/>
          <w:sz w:val="28"/>
          <w:szCs w:val="28"/>
        </w:rPr>
        <w:t xml:space="preserve"> </w:t>
      </w:r>
    </w:p>
    <w:p w14:paraId="6DC36392">
      <w:pPr>
        <w:snapToGrid w:val="0"/>
        <w:spacing w:line="560" w:lineRule="exact"/>
        <w:ind w:firstLine="1124" w:firstLineChars="400"/>
        <w:rPr>
          <w:rFonts w:hint="eastAsia" w:ascii="宋体" w:hAnsi="宋体"/>
          <w:b/>
          <w:bCs/>
          <w:color w:val="000000"/>
          <w:sz w:val="28"/>
          <w:szCs w:val="28"/>
        </w:rPr>
      </w:pPr>
      <w:r>
        <w:rPr>
          <w:rFonts w:hint="eastAsia" w:ascii="宋体" w:hAnsi="宋体"/>
          <w:b/>
          <w:bCs/>
          <w:color w:val="000000"/>
          <w:sz w:val="28"/>
          <w:szCs w:val="28"/>
        </w:rPr>
        <w:t xml:space="preserve"> </w:t>
      </w:r>
    </w:p>
    <w:p w14:paraId="3B1E4BB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lNmY2ZDhlNzA3MjA2YmRmZjMxN2Q2OTExOTQzOGEifQ=="/>
  </w:docVars>
  <w:rsids>
    <w:rsidRoot w:val="00FD2813"/>
    <w:rsid w:val="000F19C5"/>
    <w:rsid w:val="00FD2813"/>
    <w:rsid w:val="166F200A"/>
    <w:rsid w:val="29CD035C"/>
    <w:rsid w:val="313E6BEE"/>
    <w:rsid w:val="34C33FCB"/>
    <w:rsid w:val="3732021F"/>
    <w:rsid w:val="3B364634"/>
    <w:rsid w:val="3D757893"/>
    <w:rsid w:val="41027742"/>
    <w:rsid w:val="44873E75"/>
    <w:rsid w:val="575222CD"/>
    <w:rsid w:val="5BF82713"/>
    <w:rsid w:val="695D4D9D"/>
    <w:rsid w:val="7E98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
    <w:unhideWhenUsed/>
    <w:qFormat/>
    <w:uiPriority w:val="99"/>
    <w:pPr>
      <w:spacing w:before="100" w:beforeAutospacing="1" w:after="120"/>
    </w:pPr>
  </w:style>
  <w:style w:type="character" w:customStyle="1" w:styleId="5">
    <w:name w:val="正文文本 Char"/>
    <w:basedOn w:val="4"/>
    <w:link w:val="2"/>
    <w:qFormat/>
    <w:uiPriority w:val="99"/>
    <w:rPr>
      <w:rFonts w:ascii="Times New Roman" w:hAnsi="Times New Roman" w:eastAsia="宋体" w:cs="Times New Roman"/>
      <w:szCs w:val="21"/>
    </w:rPr>
  </w:style>
  <w:style w:type="paragraph" w:customStyle="1" w:styleId="6">
    <w:name w:val="Normal_8"/>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668</Words>
  <Characters>685</Characters>
  <Lines>9</Lines>
  <Paragraphs>2</Paragraphs>
  <TotalTime>0</TotalTime>
  <ScaleCrop>false</ScaleCrop>
  <LinksUpToDate>false</LinksUpToDate>
  <CharactersWithSpaces>701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2024-07-12T02:09:00Z</dcterms:created>
  <dc:creator>AutoBVT</dc:creator>
  <cp:lastModifiedBy>刘文红</cp:lastModifiedBy>
  <cp:lastPrinted>2024-11-04T03:37:00Z</cp:lastPrinted>
  <dcterms:modified xsi:type="dcterms:W3CDTF">2026-01-19T03:36:02Z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CEEFCF70D7664731BFA5DB580F2D24AC_13</vt:lpwstr>
  </property>
  <property fmtid="{D5CDD505-2E9C-101B-9397-08002B2CF9AE}" pid="4" name="KSOTemplateDocerSaveRecord">
    <vt:lpwstr>eyJoZGlkIjoiNTIxNWYzY2E5NmQxNGJkZmMyZWZlYzBlY2FiNDIwMzUiLCJ1c2VySWQiOiIzODQyMjgwNjIifQ==</vt:lpwstr>
  </property>
</Properties>
</file>