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D6B35">
      <w:pPr>
        <w:rPr>
          <w:rFonts w:hint="eastAsia" w:ascii="黑体" w:hAnsi="黑体" w:eastAsia="黑体" w:cs="黑体"/>
          <w:b/>
          <w:bCs/>
          <w:i w:val="0"/>
          <w:iCs w:val="0"/>
          <w:color w:val="000000"/>
          <w:kern w:val="0"/>
          <w:sz w:val="30"/>
          <w:szCs w:val="30"/>
          <w:u w:val="none"/>
          <w:lang w:val="en-US" w:eastAsia="zh-CN" w:bidi="ar"/>
        </w:rPr>
      </w:pPr>
      <w:r>
        <w:rPr>
          <w:rFonts w:hint="eastAsia" w:ascii="黑体" w:hAnsi="黑体" w:eastAsia="黑体" w:cs="黑体"/>
          <w:b/>
          <w:bCs/>
          <w:i w:val="0"/>
          <w:iCs w:val="0"/>
          <w:color w:val="000000"/>
          <w:kern w:val="0"/>
          <w:sz w:val="30"/>
          <w:szCs w:val="30"/>
          <w:u w:val="none"/>
          <w:lang w:val="en-US" w:eastAsia="zh-CN" w:bidi="ar"/>
        </w:rPr>
        <w:t>附件1：</w:t>
      </w:r>
    </w:p>
    <w:p w14:paraId="166DAC17">
      <w:pPr>
        <w:ind w:firstLine="1446" w:firstLineChars="400"/>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val="0"/>
          <w:color w:val="auto"/>
          <w:kern w:val="2"/>
          <w:sz w:val="36"/>
          <w:szCs w:val="36"/>
          <w:lang w:val="en-US" w:eastAsia="zh-CN" w:bidi="ar-SA"/>
        </w:rPr>
        <w:t>体育馆篮球架及乒乓球台采购项目</w:t>
      </w:r>
      <w:r>
        <w:rPr>
          <w:rFonts w:hint="eastAsia" w:ascii="宋体" w:hAnsi="宋体" w:eastAsia="宋体" w:cs="宋体"/>
          <w:b/>
          <w:bCs/>
          <w:i w:val="0"/>
          <w:iCs w:val="0"/>
          <w:color w:val="000000"/>
          <w:kern w:val="0"/>
          <w:sz w:val="36"/>
          <w:szCs w:val="36"/>
          <w:u w:val="none"/>
          <w:lang w:val="en-US" w:eastAsia="zh-CN" w:bidi="ar"/>
        </w:rPr>
        <w:t>采购内容、采购控制价及报价清单</w:t>
      </w:r>
      <w:r>
        <w:rPr>
          <w:rFonts w:hint="eastAsia" w:ascii="宋体" w:hAnsi="宋体" w:eastAsia="宋体" w:cs="宋体"/>
          <w:b/>
          <w:bCs/>
          <w:i w:val="0"/>
          <w:iCs w:val="0"/>
          <w:color w:val="000000"/>
          <w:kern w:val="0"/>
          <w:sz w:val="30"/>
          <w:szCs w:val="30"/>
          <w:u w:val="none"/>
          <w:lang w:val="en-US" w:eastAsia="zh-CN" w:bidi="ar"/>
        </w:rPr>
        <w:t>(单位：元)</w:t>
      </w:r>
    </w:p>
    <w:tbl>
      <w:tblPr>
        <w:tblStyle w:val="2"/>
        <w:tblW w:w="14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1260"/>
        <w:gridCol w:w="7272"/>
        <w:gridCol w:w="732"/>
        <w:gridCol w:w="1116"/>
        <w:gridCol w:w="1140"/>
        <w:gridCol w:w="1140"/>
        <w:gridCol w:w="1152"/>
      </w:tblGrid>
      <w:tr w14:paraId="6783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34AE6EA">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483B00">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货物或服务类名称</w:t>
            </w:r>
          </w:p>
        </w:tc>
        <w:tc>
          <w:tcPr>
            <w:tcW w:w="7272" w:type="dxa"/>
            <w:tcBorders>
              <w:top w:val="single" w:color="000000" w:sz="4" w:space="0"/>
              <w:left w:val="single" w:color="000000" w:sz="4" w:space="0"/>
              <w:bottom w:val="single" w:color="000000" w:sz="4" w:space="0"/>
              <w:right w:val="single" w:color="000000" w:sz="4" w:space="0"/>
            </w:tcBorders>
            <w:noWrap w:val="0"/>
            <w:vAlign w:val="center"/>
          </w:tcPr>
          <w:p w14:paraId="15B79439">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参数要求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7E140B">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采购数量</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B0F51C">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采购控制价单价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6171BE">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采购控制价总价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64BB24">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供应商  报价单价</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D2A24D9">
            <w:pPr>
              <w:keepNext w:val="0"/>
              <w:keepLines w:val="0"/>
              <w:widowControl/>
              <w:suppressLineNumbers w:val="0"/>
              <w:jc w:val="center"/>
              <w:textAlignment w:val="center"/>
              <w:rPr>
                <w:rFonts w:hint="eastAsia" w:ascii="黑体" w:hAnsi="黑体" w:eastAsia="黑体" w:cs="黑体"/>
                <w:b/>
                <w:bCs/>
                <w:i w:val="0"/>
                <w:iCs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供应商 报价总价</w:t>
            </w:r>
          </w:p>
        </w:tc>
      </w:tr>
      <w:tr w14:paraId="2606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6"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12E5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0F023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sz w:val="20"/>
                <w:szCs w:val="20"/>
                <w:u w:val="none"/>
              </w:rPr>
            </w:pPr>
            <w:r>
              <w:rPr>
                <w:rFonts w:hint="default" w:ascii="宋体" w:hAnsi="宋体" w:eastAsia="宋体" w:cs="宋体"/>
                <w:b/>
                <w:bCs/>
                <w:i w:val="0"/>
                <w:iCs w:val="0"/>
                <w:color w:val="000000"/>
                <w:kern w:val="0"/>
                <w:sz w:val="22"/>
                <w:szCs w:val="22"/>
                <w:u w:val="none"/>
                <w:lang w:eastAsia="zh-CN" w:bidi="ar"/>
              </w:rPr>
              <w:t>电动液压篮球架</w:t>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heme="minorEastAsia" w:hAnsiTheme="minorEastAsia" w:eastAsiaTheme="minorEastAsia" w:cstheme="minorEastAsia"/>
                <w:b/>
                <w:bCs/>
                <w:i w:val="0"/>
                <w:iCs w:val="0"/>
                <w:color w:val="000000"/>
                <w:kern w:val="0"/>
                <w:sz w:val="22"/>
                <w:szCs w:val="22"/>
                <w:u w:val="none"/>
                <w:lang w:eastAsia="zh-CN" w:bidi="ar"/>
              </w:rPr>
              <w:t>（</w:t>
            </w:r>
            <w:r>
              <w:rPr>
                <w:rFonts w:hint="eastAsia" w:asciiTheme="minorEastAsia" w:hAnsiTheme="minorEastAsia" w:eastAsiaTheme="minorEastAsia" w:cstheme="minorEastAsia"/>
                <w:b/>
                <w:bCs/>
                <w:color w:val="auto"/>
                <w:kern w:val="2"/>
                <w:sz w:val="22"/>
                <w:szCs w:val="22"/>
                <w:lang w:val="en-US" w:eastAsia="zh-CN" w:bidi="ar-SA"/>
              </w:rPr>
              <w:t>金陵</w:t>
            </w:r>
            <w:r>
              <w:rPr>
                <w:rFonts w:hint="eastAsia" w:asciiTheme="minorEastAsia" w:hAnsiTheme="minorEastAsia" w:cstheme="minorEastAsia"/>
                <w:b/>
                <w:bCs/>
                <w:color w:val="auto"/>
                <w:kern w:val="2"/>
                <w:sz w:val="22"/>
                <w:szCs w:val="22"/>
                <w:lang w:val="en-US" w:eastAsia="zh-CN" w:bidi="ar-SA"/>
              </w:rPr>
              <w:t>品</w:t>
            </w:r>
            <w:r>
              <w:rPr>
                <w:rFonts w:hint="eastAsia" w:asciiTheme="minorEastAsia" w:hAnsiTheme="minorEastAsia" w:eastAsiaTheme="minorEastAsia" w:cstheme="minorEastAsia"/>
                <w:b/>
                <w:bCs/>
                <w:color w:val="auto"/>
                <w:kern w:val="2"/>
                <w:sz w:val="22"/>
                <w:szCs w:val="22"/>
                <w:lang w:val="en-US" w:eastAsia="zh-CN" w:bidi="ar-SA"/>
              </w:rPr>
              <w:t>牌“奥运之星</w:t>
            </w:r>
            <w:r>
              <w:rPr>
                <w:rFonts w:hint="eastAsia" w:asciiTheme="minorEastAsia" w:hAnsiTheme="minorEastAsia" w:cstheme="minorEastAsia"/>
                <w:b/>
                <w:bCs/>
                <w:color w:val="auto"/>
                <w:kern w:val="2"/>
                <w:sz w:val="22"/>
                <w:szCs w:val="22"/>
                <w:lang w:val="en-US" w:eastAsia="zh-CN" w:bidi="ar-SA"/>
              </w:rPr>
              <w:t>A智能篮球架</w:t>
            </w:r>
            <w:r>
              <w:rPr>
                <w:rFonts w:hint="eastAsia" w:asciiTheme="minorEastAsia" w:hAnsiTheme="minorEastAsia" w:eastAsiaTheme="minorEastAsia" w:cstheme="minorEastAsia"/>
                <w:b/>
                <w:bCs/>
                <w:color w:val="auto"/>
                <w:kern w:val="2"/>
                <w:sz w:val="22"/>
                <w:szCs w:val="22"/>
                <w:lang w:val="en-US" w:eastAsia="zh-CN" w:bidi="ar-SA"/>
              </w:rPr>
              <w:t>”</w:t>
            </w:r>
            <w:r>
              <w:rPr>
                <w:rFonts w:hint="eastAsia" w:asciiTheme="minorEastAsia" w:hAnsiTheme="minorEastAsia" w:cstheme="minorEastAsia"/>
                <w:b/>
                <w:bCs/>
                <w:color w:val="auto"/>
                <w:kern w:val="2"/>
                <w:sz w:val="22"/>
                <w:szCs w:val="22"/>
                <w:lang w:val="en-US" w:eastAsia="zh-CN" w:bidi="ar-SA"/>
              </w:rPr>
              <w:t>型号</w:t>
            </w:r>
            <w:r>
              <w:rPr>
                <w:rFonts w:hint="eastAsia" w:asciiTheme="minorEastAsia" w:hAnsiTheme="minorEastAsia" w:eastAsiaTheme="minorEastAsia" w:cstheme="minorEastAsia"/>
                <w:b/>
                <w:bCs/>
                <w:color w:val="auto"/>
                <w:sz w:val="22"/>
                <w:szCs w:val="22"/>
                <w:lang w:val="en-US" w:eastAsia="zh-CN"/>
              </w:rPr>
              <w:t>YLJ-5B</w:t>
            </w:r>
            <w:r>
              <w:rPr>
                <w:rFonts w:hint="eastAsia" w:asciiTheme="minorEastAsia" w:hAnsiTheme="minorEastAsia" w:eastAsiaTheme="minorEastAsia" w:cstheme="minorEastAsia"/>
                <w:b/>
                <w:bCs/>
                <w:i w:val="0"/>
                <w:iCs w:val="0"/>
                <w:color w:val="000000"/>
                <w:kern w:val="0"/>
                <w:sz w:val="22"/>
                <w:szCs w:val="22"/>
                <w:u w:val="none"/>
                <w:lang w:eastAsia="zh-CN" w:bidi="ar"/>
              </w:rPr>
              <w:t>）</w:t>
            </w:r>
          </w:p>
        </w:tc>
        <w:tc>
          <w:tcPr>
            <w:tcW w:w="7272" w:type="dxa"/>
            <w:tcBorders>
              <w:top w:val="single" w:color="000000" w:sz="4" w:space="0"/>
              <w:left w:val="single" w:color="000000" w:sz="4" w:space="0"/>
              <w:bottom w:val="single" w:color="000000" w:sz="4" w:space="0"/>
              <w:right w:val="single" w:color="000000" w:sz="4" w:space="0"/>
            </w:tcBorders>
            <w:noWrap w:val="0"/>
            <w:vAlign w:val="center"/>
          </w:tcPr>
          <w:p w14:paraId="7254F8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1</w:t>
            </w:r>
            <w:r>
              <w:rPr>
                <w:rFonts w:hint="eastAsia" w:ascii="仿宋" w:hAnsi="仿宋" w:eastAsia="仿宋" w:cs="仿宋"/>
                <w:b/>
                <w:bCs/>
                <w:sz w:val="21"/>
                <w:szCs w:val="21"/>
                <w:lang w:eastAsia="zh-CN"/>
              </w:rPr>
              <w:t>.</w:t>
            </w:r>
            <w:r>
              <w:rPr>
                <w:rFonts w:hint="eastAsia" w:ascii="仿宋" w:hAnsi="仿宋" w:eastAsia="仿宋" w:cs="仿宋"/>
                <w:b/>
                <w:bCs/>
                <w:sz w:val="21"/>
                <w:szCs w:val="21"/>
              </w:rPr>
              <w:t>产品规格</w:t>
            </w:r>
            <w:r>
              <w:rPr>
                <w:rFonts w:hint="eastAsia" w:ascii="仿宋" w:hAnsi="仿宋" w:eastAsia="仿宋" w:cs="仿宋"/>
                <w:b/>
                <w:bCs/>
                <w:sz w:val="21"/>
                <w:szCs w:val="21"/>
                <w:lang w:eastAsia="zh-CN"/>
              </w:rPr>
              <w:t>：</w:t>
            </w:r>
          </w:p>
          <w:p w14:paraId="4242EE91">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sz w:val="21"/>
                <w:szCs w:val="21"/>
              </w:rPr>
            </w:pPr>
            <w:r>
              <w:rPr>
                <w:rFonts w:hint="eastAsia" w:ascii="仿宋" w:hAnsi="仿宋" w:eastAsia="仿宋" w:cs="仿宋"/>
                <w:sz w:val="21"/>
                <w:szCs w:val="21"/>
              </w:rPr>
              <w:t>篮架伸臂为3.35m，篮圈上沿离地面高3.05m，球架底座尺寸：长×宽×前高×后高=</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2.5×1.3×0.74×0.41（m）</w:t>
            </w:r>
            <w:r>
              <w:rPr>
                <w:rFonts w:hint="eastAsia" w:ascii="仿宋" w:hAnsi="仿宋" w:eastAsia="仿宋" w:cs="仿宋"/>
                <w:sz w:val="21"/>
                <w:szCs w:val="21"/>
              </w:rPr>
              <w:t>。</w:t>
            </w:r>
          </w:p>
          <w:p w14:paraId="3F625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产品用材</w:t>
            </w:r>
            <w:r>
              <w:rPr>
                <w:rFonts w:hint="eastAsia" w:ascii="仿宋" w:hAnsi="仿宋" w:eastAsia="仿宋" w:cs="仿宋"/>
                <w:b/>
                <w:bCs/>
                <w:sz w:val="21"/>
                <w:szCs w:val="21"/>
                <w:lang w:eastAsia="zh-CN"/>
              </w:rPr>
              <w:t>：</w:t>
            </w:r>
          </w:p>
          <w:p w14:paraId="1F130068">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sz w:val="21"/>
                <w:szCs w:val="21"/>
              </w:rPr>
            </w:pPr>
            <w:r>
              <w:rPr>
                <w:rFonts w:hint="eastAsia" w:ascii="仿宋" w:hAnsi="仿宋" w:eastAsia="仿宋" w:cs="仿宋"/>
                <w:sz w:val="21"/>
                <w:szCs w:val="21"/>
              </w:rPr>
              <w:t>篮球架底座采用6㎜的铁板在专用折边机上折边拼焊而成，底座前立柱、后立柱支撑架和油缸支撑架采用6 mm铁板折边制作，</w:t>
            </w:r>
            <w:r>
              <w:rPr>
                <w:rFonts w:hint="eastAsia" w:ascii="仿宋" w:hAnsi="仿宋" w:eastAsia="仿宋" w:cs="仿宋"/>
                <w:color w:val="000000" w:themeColor="text1"/>
                <w:sz w:val="21"/>
                <w:szCs w:val="21"/>
                <w14:textFill>
                  <w14:solidFill>
                    <w14:schemeClr w14:val="tx1"/>
                  </w14:solidFill>
                </w14:textFill>
              </w:rPr>
              <w:t>篮架立柱采用□200×70×3方管、□120×120×3方管、□120×70×3方管和□70×70×3方管拼焊而成，</w:t>
            </w:r>
            <w:r>
              <w:rPr>
                <w:rFonts w:hint="eastAsia" w:ascii="仿宋" w:hAnsi="仿宋" w:eastAsia="仿宋" w:cs="仿宋"/>
                <w:sz w:val="21"/>
                <w:szCs w:val="21"/>
              </w:rPr>
              <w:t>篮架伸臂采用δ5钢板折边成形拼焊而成，造型独特美观，焊缝表面均匀光滑，篮架立柱转动部位和伸臂头部连接件均采用优质精密铸钢件制作，性能安全可靠，篮架上拉杆采用优质圆管在弯管机上一次成型，避免了电焊及焊渣易引起生锈的隐患，合理结构设计与独特外观造型和谐统一。</w:t>
            </w:r>
          </w:p>
          <w:p w14:paraId="2950DC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3</w:t>
            </w:r>
            <w:r>
              <w:rPr>
                <w:rFonts w:hint="eastAsia" w:ascii="仿宋" w:hAnsi="仿宋" w:eastAsia="仿宋" w:cs="仿宋"/>
                <w:b/>
                <w:bCs/>
                <w:sz w:val="21"/>
                <w:szCs w:val="21"/>
                <w:lang w:eastAsia="zh-CN"/>
              </w:rPr>
              <w:t>.</w:t>
            </w:r>
            <w:r>
              <w:rPr>
                <w:rFonts w:hint="eastAsia" w:ascii="仿宋" w:hAnsi="仿宋" w:eastAsia="仿宋" w:cs="仿宋"/>
                <w:b/>
                <w:bCs/>
                <w:sz w:val="21"/>
                <w:szCs w:val="21"/>
              </w:rPr>
              <w:t>产品结构原理</w:t>
            </w:r>
            <w:r>
              <w:rPr>
                <w:rFonts w:hint="eastAsia" w:ascii="仿宋" w:hAnsi="仿宋" w:eastAsia="仿宋" w:cs="仿宋"/>
                <w:b/>
                <w:bCs/>
                <w:sz w:val="21"/>
                <w:szCs w:val="21"/>
                <w:lang w:eastAsia="zh-CN"/>
              </w:rPr>
              <w:t>：</w:t>
            </w:r>
          </w:p>
          <w:p w14:paraId="59D3BC4D">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sz w:val="21"/>
                <w:szCs w:val="21"/>
              </w:rPr>
            </w:pPr>
            <w:r>
              <w:rPr>
                <w:rFonts w:hint="eastAsia" w:ascii="仿宋" w:hAnsi="仿宋" w:eastAsia="仿宋" w:cs="仿宋"/>
                <w:sz w:val="21"/>
                <w:szCs w:val="21"/>
              </w:rPr>
              <w:t>电动液压篮球架采用电动控制系统，设有篮架升降系统、走轮伸缩机构、走轮前进或后退、电器、液压系统。</w:t>
            </w:r>
          </w:p>
          <w:p w14:paraId="356653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篮架主体升降采用四连杆机构，使用时电机接通220V、50HZ单相电源即可启动，带动油泵，经微电脑控制系统进行“功能”转换，油缸随即产生伸缩运动，从而使篮架立柱升降、底座走轮起落和走轮前进或后退。 其中，控制篮架走轮的前进或后退可采用电动操作，也可保障在无供电的情况下，依靠人力将篮球架轻松移动。</w:t>
            </w:r>
          </w:p>
          <w:p w14:paraId="3D0A60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4</w:t>
            </w:r>
            <w:r>
              <w:rPr>
                <w:rFonts w:hint="eastAsia" w:ascii="仿宋" w:hAnsi="仿宋" w:eastAsia="仿宋" w:cs="仿宋"/>
                <w:b/>
                <w:bCs/>
                <w:sz w:val="21"/>
                <w:szCs w:val="21"/>
                <w:lang w:eastAsia="zh-CN"/>
              </w:rPr>
              <w:t>.</w:t>
            </w:r>
            <w:r>
              <w:rPr>
                <w:rFonts w:hint="eastAsia" w:ascii="仿宋" w:hAnsi="仿宋" w:eastAsia="仿宋" w:cs="仿宋"/>
                <w:b/>
                <w:bCs/>
                <w:sz w:val="21"/>
                <w:szCs w:val="21"/>
              </w:rPr>
              <w:t>篮板</w:t>
            </w:r>
            <w:r>
              <w:rPr>
                <w:rFonts w:hint="eastAsia" w:ascii="仿宋" w:hAnsi="仿宋" w:eastAsia="仿宋" w:cs="仿宋"/>
                <w:b/>
                <w:bCs/>
                <w:sz w:val="21"/>
                <w:szCs w:val="21"/>
                <w:lang w:eastAsia="zh-CN"/>
              </w:rPr>
              <w:t>：</w:t>
            </w:r>
          </w:p>
          <w:p w14:paraId="1B293A3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sz w:val="21"/>
                <w:szCs w:val="21"/>
              </w:rPr>
            </w:pPr>
            <w:r>
              <w:rPr>
                <w:rFonts w:hint="eastAsia" w:ascii="仿宋" w:hAnsi="仿宋" w:eastAsia="仿宋" w:cs="仿宋"/>
                <w:sz w:val="21"/>
                <w:szCs w:val="21"/>
              </w:rPr>
              <w:t>篮板配用国际通用的高强度安全玻璃篮板（13mm厚双层夹胶玻璃），规格：1800×1050（mm），具有透明度高、耐侯性好、抗老化、耐腐蚀、不易模糊等特点，并在篮板下沿侧面覆盖有保护圈，保护圈前后表面高度、厚度均≥20mm，底面厚度≥50mm，符合FIBA规则，能有效保护运动员扣篮时不受伤害。篮板弹性500N/min，中心挠度≤6mm，取消外力1min后篮板恢复原状。</w:t>
            </w:r>
          </w:p>
          <w:p w14:paraId="35CD8D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5</w:t>
            </w:r>
            <w:r>
              <w:rPr>
                <w:rFonts w:hint="eastAsia" w:ascii="仿宋" w:hAnsi="仿宋" w:eastAsia="仿宋" w:cs="仿宋"/>
                <w:b/>
                <w:bCs/>
                <w:sz w:val="21"/>
                <w:szCs w:val="21"/>
                <w:lang w:eastAsia="zh-CN"/>
              </w:rPr>
              <w:t>.</w:t>
            </w:r>
            <w:r>
              <w:rPr>
                <w:rFonts w:hint="eastAsia" w:ascii="仿宋" w:hAnsi="仿宋" w:eastAsia="仿宋" w:cs="仿宋"/>
                <w:b/>
                <w:bCs/>
                <w:sz w:val="21"/>
                <w:szCs w:val="21"/>
              </w:rPr>
              <w:t>篮圈</w:t>
            </w:r>
            <w:r>
              <w:rPr>
                <w:rFonts w:hint="eastAsia" w:ascii="仿宋" w:hAnsi="仿宋" w:eastAsia="仿宋" w:cs="仿宋"/>
                <w:b/>
                <w:bCs/>
                <w:sz w:val="21"/>
                <w:szCs w:val="21"/>
                <w:lang w:eastAsia="zh-CN"/>
              </w:rPr>
              <w:t>：</w:t>
            </w:r>
          </w:p>
          <w:p w14:paraId="76B7A0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 xml:space="preserve">    </w:t>
            </w:r>
            <w:bookmarkStart w:id="0" w:name="_GoBack"/>
            <w:bookmarkEnd w:id="0"/>
            <w:r>
              <w:rPr>
                <w:rFonts w:hint="eastAsia" w:ascii="仿宋" w:hAnsi="仿宋" w:eastAsia="仿宋" w:cs="仿宋"/>
                <w:sz w:val="21"/>
                <w:szCs w:val="21"/>
              </w:rPr>
              <w:t>篮圈采用φ19实心圆钢制作，篮圈抗弯性能好，在篮圈最远点的圈顶上施加静载荷105kg时，篮圈向下转动角度不小于10度也不大于30度，能有效解决投篮时篮圈的稳定性和运动员扣篮时的安全性问题。</w:t>
            </w:r>
          </w:p>
          <w:p w14:paraId="3B815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6</w:t>
            </w:r>
            <w:r>
              <w:rPr>
                <w:rFonts w:hint="eastAsia" w:ascii="仿宋" w:hAnsi="仿宋" w:eastAsia="仿宋" w:cs="仿宋"/>
                <w:b/>
                <w:bCs/>
                <w:sz w:val="21"/>
                <w:szCs w:val="21"/>
                <w:lang w:eastAsia="zh-CN"/>
              </w:rPr>
              <w:t>.</w:t>
            </w:r>
            <w:r>
              <w:rPr>
                <w:rFonts w:hint="eastAsia" w:ascii="仿宋" w:hAnsi="仿宋" w:eastAsia="仿宋" w:cs="仿宋"/>
                <w:b/>
                <w:bCs/>
                <w:sz w:val="21"/>
                <w:szCs w:val="21"/>
              </w:rPr>
              <w:t>防护措施</w:t>
            </w:r>
            <w:r>
              <w:rPr>
                <w:rFonts w:hint="eastAsia" w:ascii="仿宋" w:hAnsi="仿宋" w:eastAsia="仿宋" w:cs="仿宋"/>
                <w:b/>
                <w:bCs/>
                <w:sz w:val="21"/>
                <w:szCs w:val="21"/>
                <w:lang w:eastAsia="zh-CN"/>
              </w:rPr>
              <w:t>：</w:t>
            </w:r>
          </w:p>
          <w:p w14:paraId="310EADF6">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sz w:val="21"/>
                <w:szCs w:val="21"/>
              </w:rPr>
            </w:pPr>
            <w:r>
              <w:rPr>
                <w:rFonts w:hint="eastAsia" w:ascii="仿宋" w:hAnsi="仿宋" w:eastAsia="仿宋" w:cs="仿宋"/>
                <w:sz w:val="21"/>
                <w:szCs w:val="21"/>
              </w:rPr>
              <w:t>篮架前立柱、底座、伸臂配备有专用护套，能有效保护运动员免受撞击，篮架底座下部设有防震垫，后部装有专用配重，单只配重500kg，能保证在篮圈根部施加3200N的载荷时，篮球架不倾翻。前立柱与伸臂间装有专用保险机构，能有效保证使用时的安全性及美观性。</w:t>
            </w:r>
          </w:p>
          <w:p w14:paraId="4668BE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7</w:t>
            </w:r>
            <w:r>
              <w:rPr>
                <w:rFonts w:hint="eastAsia" w:ascii="仿宋" w:hAnsi="仿宋" w:eastAsia="仿宋" w:cs="仿宋"/>
                <w:b/>
                <w:bCs/>
                <w:sz w:val="21"/>
                <w:szCs w:val="21"/>
                <w:lang w:eastAsia="zh-CN"/>
              </w:rPr>
              <w:t>.</w:t>
            </w:r>
            <w:r>
              <w:rPr>
                <w:rFonts w:hint="eastAsia" w:ascii="仿宋" w:hAnsi="仿宋" w:eastAsia="仿宋" w:cs="仿宋"/>
                <w:b/>
                <w:bCs/>
                <w:sz w:val="21"/>
                <w:szCs w:val="21"/>
              </w:rPr>
              <w:t>爬坡功能</w:t>
            </w:r>
            <w:r>
              <w:rPr>
                <w:rFonts w:hint="eastAsia" w:ascii="仿宋" w:hAnsi="仿宋" w:eastAsia="仿宋" w:cs="仿宋"/>
                <w:b/>
                <w:bCs/>
                <w:sz w:val="21"/>
                <w:szCs w:val="21"/>
                <w:lang w:eastAsia="zh-CN"/>
              </w:rPr>
              <w:t>：</w:t>
            </w:r>
          </w:p>
          <w:p w14:paraId="31F04767">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sz w:val="21"/>
                <w:szCs w:val="21"/>
              </w:rPr>
            </w:pPr>
            <w:r>
              <w:rPr>
                <w:rFonts w:hint="eastAsia" w:ascii="仿宋" w:hAnsi="仿宋" w:eastAsia="仿宋" w:cs="仿宋"/>
                <w:sz w:val="21"/>
                <w:szCs w:val="21"/>
              </w:rPr>
              <w:t>底座除了本身的走轮机构外，为了方便爬较陡的斜坡，在底座的后侧又另设计有一专用爬坡轮，使用时，安装方便。</w:t>
            </w:r>
          </w:p>
          <w:p w14:paraId="19DD8D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8</w:t>
            </w:r>
            <w:r>
              <w:rPr>
                <w:rFonts w:hint="eastAsia" w:ascii="仿宋" w:hAnsi="仿宋" w:eastAsia="仿宋" w:cs="仿宋"/>
                <w:b/>
                <w:bCs/>
                <w:sz w:val="21"/>
                <w:szCs w:val="21"/>
                <w:lang w:eastAsia="zh-CN"/>
              </w:rPr>
              <w:t>.</w:t>
            </w:r>
            <w:r>
              <w:rPr>
                <w:rFonts w:hint="eastAsia" w:ascii="仿宋" w:hAnsi="仿宋" w:eastAsia="仿宋" w:cs="仿宋"/>
                <w:b/>
                <w:bCs/>
                <w:sz w:val="21"/>
                <w:szCs w:val="21"/>
              </w:rPr>
              <w:t>表面处理</w:t>
            </w:r>
            <w:r>
              <w:rPr>
                <w:rFonts w:hint="eastAsia" w:ascii="仿宋" w:hAnsi="仿宋" w:eastAsia="仿宋" w:cs="仿宋"/>
                <w:b/>
                <w:bCs/>
                <w:sz w:val="21"/>
                <w:szCs w:val="21"/>
                <w:lang w:eastAsia="zh-CN"/>
              </w:rPr>
              <w:t>：</w:t>
            </w:r>
          </w:p>
          <w:p w14:paraId="0A7BD283">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rPr>
                <w:rFonts w:hint="eastAsia" w:ascii="仿宋" w:hAnsi="仿宋" w:eastAsia="仿宋" w:cs="仿宋"/>
                <w:b/>
                <w:bCs/>
                <w:sz w:val="21"/>
                <w:szCs w:val="21"/>
                <w:lang w:val="en-US" w:eastAsia="zh-CN"/>
              </w:rPr>
            </w:pPr>
            <w:r>
              <w:rPr>
                <w:rFonts w:hint="eastAsia" w:ascii="仿宋" w:hAnsi="仿宋" w:eastAsia="仿宋" w:cs="仿宋"/>
                <w:sz w:val="21"/>
                <w:szCs w:val="21"/>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r>
              <w:rPr>
                <w:rFonts w:hint="eastAsia" w:ascii="仿宋" w:hAnsi="仿宋" w:eastAsia="仿宋" w:cs="仿宋"/>
                <w:b/>
                <w:bCs/>
                <w:sz w:val="21"/>
                <w:szCs w:val="21"/>
              </w:rPr>
              <w:t>（注：计时，</w:t>
            </w:r>
            <w:r>
              <w:rPr>
                <w:rFonts w:hint="eastAsia" w:ascii="仿宋" w:hAnsi="仿宋" w:eastAsia="仿宋" w:cs="仿宋"/>
                <w:b/>
                <w:bCs/>
                <w:sz w:val="21"/>
                <w:szCs w:val="21"/>
                <w:lang w:val="en-US" w:eastAsia="zh-CN"/>
              </w:rPr>
              <w:t>24</w:t>
            </w:r>
            <w:r>
              <w:rPr>
                <w:rFonts w:hint="eastAsia" w:ascii="仿宋" w:hAnsi="仿宋" w:eastAsia="仿宋" w:cs="仿宋"/>
                <w:b/>
                <w:bCs/>
                <w:sz w:val="21"/>
                <w:szCs w:val="21"/>
              </w:rPr>
              <w:t>秒另配）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EB38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1副/对</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0573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232500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A88B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232500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F3343B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393AEC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r>
      <w:tr w14:paraId="4911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A9FB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1A2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kern w:val="0"/>
                <w:sz w:val="22"/>
                <w:szCs w:val="22"/>
                <w:u w:val="none"/>
                <w:lang w:eastAsia="zh-CN" w:bidi="ar"/>
              </w:rPr>
            </w:pPr>
            <w:r>
              <w:rPr>
                <w:rFonts w:hint="eastAsia" w:ascii="宋体" w:hAnsi="宋体" w:eastAsia="宋体" w:cs="宋体"/>
                <w:b/>
                <w:bCs/>
                <w:i w:val="0"/>
                <w:iCs w:val="0"/>
                <w:color w:val="000000"/>
                <w:kern w:val="0"/>
                <w:sz w:val="22"/>
                <w:szCs w:val="22"/>
                <w:u w:val="none"/>
                <w:lang w:eastAsia="zh-CN" w:bidi="ar"/>
              </w:rPr>
              <w:t>乒乓球台</w:t>
            </w:r>
            <w:r>
              <w:rPr>
                <w:rFonts w:hint="eastAsia" w:asciiTheme="minorEastAsia" w:hAnsiTheme="minorEastAsia" w:eastAsiaTheme="minorEastAsia" w:cstheme="minorEastAsia"/>
                <w:b/>
                <w:bCs/>
                <w:i w:val="0"/>
                <w:iCs w:val="0"/>
                <w:color w:val="000000"/>
                <w:kern w:val="0"/>
                <w:sz w:val="22"/>
                <w:szCs w:val="22"/>
                <w:u w:val="none"/>
                <w:lang w:eastAsia="zh-CN" w:bidi="ar"/>
              </w:rPr>
              <w:t>（</w:t>
            </w:r>
            <w:r>
              <w:rPr>
                <w:rFonts w:hint="eastAsia" w:asciiTheme="minorEastAsia" w:hAnsiTheme="minorEastAsia" w:eastAsiaTheme="minorEastAsia" w:cstheme="minorEastAsia"/>
                <w:b/>
                <w:bCs/>
                <w:color w:val="auto"/>
                <w:kern w:val="2"/>
                <w:sz w:val="22"/>
                <w:szCs w:val="22"/>
                <w:lang w:val="en-US" w:eastAsia="zh-CN" w:bidi="ar-SA"/>
              </w:rPr>
              <w:t>红双喜牌</w:t>
            </w:r>
            <w:r>
              <w:rPr>
                <w:rFonts w:hint="eastAsia" w:asciiTheme="minorEastAsia" w:hAnsiTheme="minorEastAsia" w:cstheme="minorEastAsia"/>
                <w:b/>
                <w:bCs/>
                <w:color w:val="auto"/>
                <w:kern w:val="2"/>
                <w:sz w:val="22"/>
                <w:szCs w:val="22"/>
                <w:lang w:val="en-US" w:eastAsia="zh-CN" w:bidi="ar-SA"/>
              </w:rPr>
              <w:t>，型号</w:t>
            </w:r>
            <w:r>
              <w:rPr>
                <w:rFonts w:hint="eastAsia" w:asciiTheme="minorEastAsia" w:hAnsiTheme="minorEastAsia" w:eastAsiaTheme="minorEastAsia" w:cstheme="minorEastAsia"/>
                <w:b/>
                <w:bCs/>
                <w:color w:val="auto"/>
                <w:kern w:val="2"/>
                <w:sz w:val="22"/>
                <w:szCs w:val="22"/>
                <w:lang w:val="en-US" w:eastAsia="zh-CN" w:bidi="ar-SA"/>
              </w:rPr>
              <w:t>T3088</w:t>
            </w:r>
            <w:r>
              <w:rPr>
                <w:rFonts w:hint="eastAsia" w:asciiTheme="minorEastAsia" w:hAnsiTheme="minorEastAsia" w:cstheme="minorEastAsia"/>
                <w:b/>
                <w:bCs/>
                <w:color w:val="auto"/>
                <w:kern w:val="2"/>
                <w:sz w:val="22"/>
                <w:szCs w:val="22"/>
                <w:lang w:val="en-US" w:eastAsia="zh-CN" w:bidi="ar-SA"/>
              </w:rPr>
              <w:t>折叠款</w:t>
            </w:r>
            <w:r>
              <w:rPr>
                <w:rFonts w:hint="eastAsia" w:asciiTheme="minorEastAsia" w:hAnsiTheme="minorEastAsia" w:eastAsiaTheme="minorEastAsia" w:cstheme="minorEastAsia"/>
                <w:b/>
                <w:bCs/>
                <w:i w:val="0"/>
                <w:iCs w:val="0"/>
                <w:color w:val="000000"/>
                <w:kern w:val="0"/>
                <w:sz w:val="22"/>
                <w:szCs w:val="22"/>
                <w:u w:val="none"/>
                <w:lang w:eastAsia="zh-CN" w:bidi="ar"/>
              </w:rPr>
              <w:t>）</w:t>
            </w:r>
          </w:p>
        </w:tc>
        <w:tc>
          <w:tcPr>
            <w:tcW w:w="7272" w:type="dxa"/>
            <w:tcBorders>
              <w:top w:val="single" w:color="000000" w:sz="4" w:space="0"/>
              <w:left w:val="single" w:color="000000" w:sz="4" w:space="0"/>
              <w:bottom w:val="single" w:color="000000" w:sz="4" w:space="0"/>
              <w:right w:val="single" w:color="000000" w:sz="4" w:space="0"/>
            </w:tcBorders>
            <w:noWrap w:val="0"/>
            <w:vAlign w:val="center"/>
          </w:tcPr>
          <w:p w14:paraId="7C8BAA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款式：折叠款</w:t>
            </w:r>
            <w:r>
              <w:rPr>
                <w:rFonts w:hint="eastAsia" w:ascii="仿宋" w:hAnsi="仿宋" w:eastAsia="仿宋" w:cs="仿宋"/>
                <w:sz w:val="21"/>
                <w:szCs w:val="21"/>
              </w:rPr>
              <w:t>室内球台</w:t>
            </w:r>
            <w:r>
              <w:rPr>
                <w:rFonts w:hint="eastAsia" w:ascii="仿宋" w:hAnsi="仿宋" w:eastAsia="仿宋" w:cs="仿宋"/>
                <w:sz w:val="21"/>
                <w:szCs w:val="21"/>
                <w:lang w:val="en-US" w:eastAsia="zh-CN"/>
              </w:rPr>
              <w:t xml:space="preserve">    系列：TM贴面系列</w:t>
            </w:r>
          </w:p>
          <w:p w14:paraId="419D91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弹性:</w:t>
            </w:r>
            <w:r>
              <w:rPr>
                <w:rFonts w:hint="eastAsia" w:ascii="仿宋" w:hAnsi="仿宋" w:eastAsia="仿宋" w:cs="仿宋"/>
                <w:sz w:val="21"/>
                <w:szCs w:val="21"/>
                <w:lang w:val="en-US" w:eastAsia="zh-CN"/>
              </w:rPr>
              <w:t xml:space="preserve"> 230</w:t>
            </w:r>
            <w:r>
              <w:rPr>
                <w:rFonts w:hint="eastAsia" w:ascii="仿宋" w:hAnsi="仿宋" w:eastAsia="仿宋" w:cs="仿宋"/>
                <w:sz w:val="21"/>
                <w:szCs w:val="21"/>
              </w:rPr>
              <w:t>-2</w:t>
            </w:r>
            <w:r>
              <w:rPr>
                <w:rFonts w:hint="eastAsia" w:ascii="仿宋" w:hAnsi="仿宋" w:eastAsia="仿宋" w:cs="仿宋"/>
                <w:sz w:val="21"/>
                <w:szCs w:val="21"/>
                <w:lang w:val="en-US" w:eastAsia="zh-CN"/>
              </w:rPr>
              <w:t>6</w:t>
            </w:r>
            <w:r>
              <w:rPr>
                <w:rFonts w:hint="eastAsia" w:ascii="仿宋" w:hAnsi="仿宋" w:eastAsia="仿宋" w:cs="仿宋"/>
                <w:sz w:val="21"/>
                <w:szCs w:val="21"/>
              </w:rPr>
              <w:t>0mm</w:t>
            </w:r>
            <w:r>
              <w:rPr>
                <w:rFonts w:hint="eastAsia" w:ascii="仿宋" w:hAnsi="仿宋" w:eastAsia="仿宋" w:cs="仿宋"/>
                <w:sz w:val="21"/>
                <w:szCs w:val="21"/>
              </w:rPr>
              <w:tab/>
            </w:r>
            <w:r>
              <w:rPr>
                <w:rFonts w:hint="eastAsia" w:ascii="仿宋" w:hAnsi="仿宋" w:eastAsia="仿宋" w:cs="仿宋"/>
                <w:sz w:val="21"/>
                <w:szCs w:val="21"/>
                <w:lang w:val="en-US" w:eastAsia="zh-CN"/>
              </w:rPr>
              <w:t xml:space="preserve">  台面材质：三聚氰胺贴面板</w:t>
            </w:r>
          </w:p>
          <w:p w14:paraId="110BE0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rPr>
            </w:pPr>
            <w:r>
              <w:rPr>
                <w:rFonts w:hint="eastAsia" w:ascii="仿宋" w:hAnsi="仿宋" w:eastAsia="仿宋" w:cs="仿宋"/>
                <w:sz w:val="21"/>
                <w:szCs w:val="21"/>
              </w:rPr>
              <w:t>台面颜色:</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蓝色</w:t>
            </w:r>
            <w:r>
              <w:rPr>
                <w:rFonts w:hint="eastAsia" w:ascii="仿宋" w:hAnsi="仿宋" w:eastAsia="仿宋" w:cs="仿宋"/>
                <w:sz w:val="21"/>
                <w:szCs w:val="21"/>
              </w:rPr>
              <w:tab/>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球台稳定性:</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14</w:t>
            </w:r>
            <w:r>
              <w:rPr>
                <w:rFonts w:hint="eastAsia" w:ascii="仿宋" w:hAnsi="仿宋" w:eastAsia="仿宋" w:cs="仿宋"/>
                <w:sz w:val="21"/>
                <w:szCs w:val="21"/>
              </w:rPr>
              <w:tab/>
            </w:r>
          </w:p>
          <w:p w14:paraId="3B6B44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rPr>
              <w:t>标准尺寸:</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台长:2740mm</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ab/>
            </w:r>
            <w:r>
              <w:rPr>
                <w:rFonts w:hint="eastAsia" w:ascii="仿宋" w:hAnsi="仿宋" w:eastAsia="仿宋" w:cs="仿宋"/>
                <w:sz w:val="21"/>
                <w:szCs w:val="21"/>
              </w:rPr>
              <w:t>台宽:1525mm</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台高:</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760mm</w:t>
            </w:r>
            <w:r>
              <w:rPr>
                <w:rFonts w:hint="eastAsia" w:ascii="仿宋" w:hAnsi="仿宋" w:eastAsia="仿宋" w:cs="仿宋"/>
                <w:sz w:val="21"/>
                <w:szCs w:val="21"/>
              </w:rPr>
              <w:tab/>
            </w:r>
            <w:r>
              <w:rPr>
                <w:rFonts w:hint="eastAsia" w:ascii="仿宋" w:hAnsi="仿宋" w:eastAsia="仿宋" w:cs="仿宋"/>
                <w:sz w:val="21"/>
                <w:szCs w:val="21"/>
                <w:lang w:val="en-US" w:eastAsia="zh-CN"/>
              </w:rPr>
              <w:t xml:space="preserve">    </w:t>
            </w:r>
          </w:p>
          <w:p w14:paraId="351ED8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无脚轮   包装尺寸：</w:t>
            </w:r>
            <w:r>
              <w:rPr>
                <w:rFonts w:hint="eastAsia" w:ascii="仿宋" w:hAnsi="仿宋" w:eastAsia="仿宋" w:cs="仿宋"/>
                <w:sz w:val="21"/>
                <w:szCs w:val="21"/>
              </w:rPr>
              <w:t>16</w:t>
            </w:r>
            <w:r>
              <w:rPr>
                <w:rFonts w:hint="eastAsia" w:ascii="仿宋" w:hAnsi="仿宋" w:eastAsia="仿宋" w:cs="仿宋"/>
                <w:sz w:val="21"/>
                <w:szCs w:val="21"/>
                <w:lang w:val="en-US" w:eastAsia="zh-CN"/>
              </w:rPr>
              <w:t>3</w:t>
            </w:r>
            <w:r>
              <w:rPr>
                <w:rFonts w:hint="eastAsia" w:ascii="仿宋" w:hAnsi="仿宋" w:eastAsia="仿宋" w:cs="仿宋"/>
                <w:sz w:val="21"/>
                <w:szCs w:val="21"/>
              </w:rPr>
              <w:t>0*14</w:t>
            </w:r>
            <w:r>
              <w:rPr>
                <w:rFonts w:hint="eastAsia" w:ascii="仿宋" w:hAnsi="仿宋" w:eastAsia="仿宋" w:cs="仿宋"/>
                <w:sz w:val="21"/>
                <w:szCs w:val="21"/>
                <w:lang w:val="en-US" w:eastAsia="zh-CN"/>
              </w:rPr>
              <w:t>5</w:t>
            </w:r>
            <w:r>
              <w:rPr>
                <w:rFonts w:hint="eastAsia" w:ascii="仿宋" w:hAnsi="仿宋" w:eastAsia="仿宋" w:cs="仿宋"/>
                <w:sz w:val="21"/>
                <w:szCs w:val="21"/>
              </w:rPr>
              <w:t>0*1</w:t>
            </w:r>
            <w:r>
              <w:rPr>
                <w:rFonts w:hint="eastAsia" w:ascii="仿宋" w:hAnsi="仿宋" w:eastAsia="仿宋" w:cs="仿宋"/>
                <w:sz w:val="21"/>
                <w:szCs w:val="21"/>
                <w:lang w:val="en-US" w:eastAsia="zh-CN"/>
              </w:rPr>
              <w:t>3</w:t>
            </w:r>
            <w:r>
              <w:rPr>
                <w:rFonts w:hint="eastAsia" w:ascii="仿宋" w:hAnsi="仿宋" w:eastAsia="仿宋" w:cs="仿宋"/>
                <w:sz w:val="21"/>
                <w:szCs w:val="21"/>
              </w:rPr>
              <w:t>0mm</w:t>
            </w:r>
            <w:r>
              <w:rPr>
                <w:rFonts w:hint="eastAsia" w:ascii="仿宋" w:hAnsi="仿宋" w:eastAsia="仿宋" w:cs="仿宋"/>
                <w:sz w:val="21"/>
                <w:szCs w:val="21"/>
              </w:rPr>
              <w:tab/>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重量:</w:t>
            </w:r>
            <w:r>
              <w:rPr>
                <w:rFonts w:hint="eastAsia" w:ascii="仿宋" w:hAnsi="仿宋" w:eastAsia="仿宋" w:cs="仿宋"/>
                <w:sz w:val="21"/>
                <w:szCs w:val="21"/>
                <w:lang w:val="en-US" w:eastAsia="zh-CN"/>
              </w:rPr>
              <w:t xml:space="preserve"> 84</w:t>
            </w:r>
            <w:r>
              <w:rPr>
                <w:rFonts w:hint="eastAsia" w:ascii="仿宋" w:hAnsi="仿宋" w:eastAsia="仿宋" w:cs="仿宋"/>
                <w:sz w:val="21"/>
                <w:szCs w:val="21"/>
              </w:rPr>
              <w:t>kg</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506F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6张</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9D965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2856</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C0A3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17136</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C3634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C0F629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4"/>
                <w:szCs w:val="24"/>
                <w:u w:val="none"/>
              </w:rPr>
            </w:pPr>
          </w:p>
        </w:tc>
      </w:tr>
      <w:tr w14:paraId="5EA7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88" w:type="dxa"/>
            <w:gridSpan w:val="5"/>
            <w:tcBorders>
              <w:top w:val="single" w:color="000000" w:sz="4" w:space="0"/>
              <w:left w:val="single" w:color="000000" w:sz="4" w:space="0"/>
              <w:bottom w:val="single" w:color="000000" w:sz="4" w:space="0"/>
              <w:right w:val="single" w:color="000000" w:sz="4" w:space="0"/>
            </w:tcBorders>
            <w:noWrap/>
            <w:vAlign w:val="center"/>
          </w:tcPr>
          <w:p w14:paraId="20D799C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黑体" w:hAnsi="黑体" w:eastAsia="黑体" w:cs="黑体"/>
                <w:b/>
                <w:bCs/>
                <w:i w:val="0"/>
                <w:iCs w:val="0"/>
                <w:color w:val="000000"/>
                <w:kern w:val="0"/>
                <w:sz w:val="24"/>
                <w:szCs w:val="24"/>
                <w:u w:val="none"/>
                <w:lang w:val="en-US" w:eastAsia="zh-CN" w:bidi="ar"/>
              </w:rPr>
              <w:t>合计金额：贰拾肆万玖仟陆佰叁拾陆元（含与本项目有关的所有费用）。总价与单价均为最高限价</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252EC1A">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黑体" w:hAnsi="黑体" w:eastAsia="黑体" w:cs="黑体"/>
                <w:b/>
                <w:bCs/>
                <w:i w:val="0"/>
                <w:iCs w:val="0"/>
                <w:color w:val="000000"/>
                <w:sz w:val="24"/>
                <w:szCs w:val="24"/>
                <w:u w:val="none"/>
                <w:lang w:val="en-US" w:eastAsia="zh-CN"/>
              </w:rPr>
              <w:t>249636</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6C18D95">
            <w:pPr>
              <w:jc w:val="center"/>
              <w:rPr>
                <w:rFonts w:hint="eastAsia" w:ascii="宋体" w:hAnsi="宋体" w:eastAsia="宋体" w:cs="宋体"/>
                <w:i w:val="0"/>
                <w:iCs w:val="0"/>
                <w:color w:val="000000"/>
                <w:sz w:val="20"/>
                <w:szCs w:val="20"/>
                <w:u w:val="none"/>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2974DF4">
            <w:pPr>
              <w:jc w:val="center"/>
              <w:rPr>
                <w:rFonts w:hint="eastAsia" w:ascii="宋体" w:hAnsi="宋体" w:eastAsia="宋体" w:cs="宋体"/>
                <w:i w:val="0"/>
                <w:iCs w:val="0"/>
                <w:color w:val="000000"/>
                <w:sz w:val="20"/>
                <w:szCs w:val="20"/>
                <w:u w:val="none"/>
              </w:rPr>
            </w:pPr>
          </w:p>
        </w:tc>
      </w:tr>
    </w:tbl>
    <w:p w14:paraId="64E6D29E">
      <w:pPr>
        <w:tabs>
          <w:tab w:val="left" w:pos="1105"/>
        </w:tabs>
        <w:bidi w:val="0"/>
        <w:jc w:val="left"/>
        <w:rPr>
          <w:rFonts w:hint="eastAsia" w:asciiTheme="minorHAnsi" w:hAnsiTheme="minorHAnsi" w:eastAsiaTheme="minorEastAsia" w:cstheme="minorBidi"/>
          <w:kern w:val="2"/>
          <w:sz w:val="21"/>
          <w:szCs w:val="24"/>
          <w:lang w:val="en-US" w:eastAsia="zh-CN" w:bidi="ar-SA"/>
        </w:rPr>
      </w:pPr>
    </w:p>
    <w:sectPr>
      <w:pgSz w:w="16838" w:h="11906" w:orient="landscape"/>
      <w:pgMar w:top="1633" w:right="1327"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36F70"/>
    <w:rsid w:val="11D21B3E"/>
    <w:rsid w:val="12AB3D0D"/>
    <w:rsid w:val="15066C63"/>
    <w:rsid w:val="1C5622A5"/>
    <w:rsid w:val="1E572D14"/>
    <w:rsid w:val="209E462D"/>
    <w:rsid w:val="350B5F92"/>
    <w:rsid w:val="4AB60338"/>
    <w:rsid w:val="4B9D0402"/>
    <w:rsid w:val="53A34992"/>
    <w:rsid w:val="5874134E"/>
    <w:rsid w:val="5B44248A"/>
    <w:rsid w:val="63327867"/>
    <w:rsid w:val="74DE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1472</Words>
  <Characters>1645</Characters>
  <Lines>0</Lines>
  <Paragraphs>0</Paragraphs>
  <TotalTime>17</TotalTime>
  <ScaleCrop>false</ScaleCrop>
  <LinksUpToDate>false</LinksUpToDate>
  <CharactersWithSpaces>1688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2024-12-06T07:33:00Z</dcterms:created>
  <dc:creator>Administrator</dc:creator>
  <cp:lastModifiedBy>一路有你</cp:lastModifiedBy>
  <cp:lastPrinted>2025-11-12T02:25:52Z</cp:lastPrinted>
  <dcterms:modified xsi:type="dcterms:W3CDTF">2025-11-12T02:26:17Z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AF854927E9934692BD8EB97A0EDB521F_12</vt:lpwstr>
  </property>
  <property fmtid="{D5CDD505-2E9C-101B-9397-08002B2CF9AE}" pid="4" name="KSOTemplateDocerSaveRecord">
    <vt:lpwstr>eyJoZGlkIjoiZmNhYTU3ODQ5NzMyZGFlOTExMGRiYjRiMzJjNmRjYjYiLCJ1c2VySWQiOiI0NzU2MzkyMDkifQ==</vt:lpwstr>
  </property>
</Properties>
</file>