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182A7">
      <w:pPr>
        <w:jc w:val="center"/>
        <w:rPr>
          <w:rFonts w:hint="eastAsia" w:ascii="宋体" w:hAnsi="宋体" w:eastAsia="宋体" w:cs="宋体"/>
          <w:b/>
          <w:bCs/>
          <w:sz w:val="36"/>
          <w:szCs w:val="36"/>
        </w:rPr>
      </w:pPr>
      <w:r>
        <w:rPr>
          <w:rFonts w:hint="eastAsia" w:ascii="宋体" w:hAnsi="宋体" w:eastAsia="宋体" w:cs="宋体"/>
          <w:b/>
          <w:bCs/>
          <w:sz w:val="36"/>
          <w:szCs w:val="36"/>
        </w:rPr>
        <w:t>娄底职业技术学院</w:t>
      </w:r>
    </w:p>
    <w:p w14:paraId="53FF243D">
      <w:pPr>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红色故事报告科普视频制作项目</w:t>
      </w:r>
    </w:p>
    <w:p w14:paraId="3A279C96">
      <w:pPr>
        <w:jc w:val="center"/>
        <w:rPr>
          <w:rFonts w:hint="eastAsia" w:ascii="宋体" w:hAnsi="宋体" w:eastAsia="宋体" w:cs="宋体"/>
          <w:b/>
          <w:bCs/>
          <w:sz w:val="36"/>
          <w:szCs w:val="36"/>
          <w:lang w:eastAsia="zh-CN"/>
        </w:rPr>
      </w:pPr>
    </w:p>
    <w:p w14:paraId="31289163">
      <w:pPr>
        <w:pStyle w:val="5"/>
        <w:rPr>
          <w:rFonts w:hint="eastAsia" w:ascii="宋体" w:hAnsi="宋体" w:eastAsia="宋体" w:cs="宋体"/>
          <w:b/>
          <w:bCs/>
          <w:sz w:val="36"/>
          <w:szCs w:val="36"/>
          <w:lang w:eastAsia="zh-CN"/>
        </w:rPr>
      </w:pPr>
    </w:p>
    <w:p w14:paraId="69D945EB">
      <w:pPr>
        <w:jc w:val="center"/>
        <w:rPr>
          <w:rFonts w:hint="eastAsia" w:ascii="宋体" w:hAnsi="宋体" w:eastAsia="宋体" w:cs="宋体"/>
          <w:b/>
          <w:bCs/>
          <w:sz w:val="96"/>
          <w:szCs w:val="96"/>
        </w:rPr>
      </w:pPr>
      <w:r>
        <w:rPr>
          <w:rFonts w:hint="eastAsia" w:ascii="宋体" w:hAnsi="宋体" w:eastAsia="宋体" w:cs="宋体"/>
          <w:b/>
          <w:bCs/>
          <w:sz w:val="96"/>
          <w:szCs w:val="96"/>
        </w:rPr>
        <w:t>采</w:t>
      </w:r>
    </w:p>
    <w:p w14:paraId="1BD0B6B4">
      <w:pPr>
        <w:jc w:val="center"/>
        <w:rPr>
          <w:rFonts w:hint="eastAsia" w:ascii="宋体" w:hAnsi="宋体" w:eastAsia="宋体" w:cs="宋体"/>
          <w:b/>
          <w:bCs/>
          <w:sz w:val="96"/>
          <w:szCs w:val="96"/>
        </w:rPr>
      </w:pPr>
      <w:r>
        <w:rPr>
          <w:rFonts w:hint="eastAsia" w:ascii="宋体" w:hAnsi="宋体" w:eastAsia="宋体" w:cs="宋体"/>
          <w:b/>
          <w:bCs/>
          <w:sz w:val="96"/>
          <w:szCs w:val="96"/>
        </w:rPr>
        <w:t>购</w:t>
      </w:r>
    </w:p>
    <w:p w14:paraId="34A395C7">
      <w:pPr>
        <w:jc w:val="center"/>
        <w:rPr>
          <w:rFonts w:hint="eastAsia" w:ascii="宋体" w:hAnsi="宋体" w:eastAsia="宋体" w:cs="宋体"/>
          <w:b/>
          <w:bCs/>
          <w:sz w:val="96"/>
          <w:szCs w:val="96"/>
        </w:rPr>
      </w:pPr>
      <w:r>
        <w:rPr>
          <w:rFonts w:hint="eastAsia" w:ascii="宋体" w:hAnsi="宋体" w:eastAsia="宋体" w:cs="宋体"/>
          <w:b/>
          <w:bCs/>
          <w:sz w:val="96"/>
          <w:szCs w:val="96"/>
        </w:rPr>
        <w:t>需</w:t>
      </w:r>
    </w:p>
    <w:p w14:paraId="2A2DEE52">
      <w:pPr>
        <w:jc w:val="center"/>
        <w:rPr>
          <w:rFonts w:hint="eastAsia" w:ascii="宋体" w:hAnsi="宋体" w:eastAsia="宋体" w:cs="宋体"/>
          <w:b/>
          <w:bCs/>
          <w:sz w:val="96"/>
          <w:szCs w:val="96"/>
        </w:rPr>
      </w:pPr>
      <w:r>
        <w:rPr>
          <w:rFonts w:hint="eastAsia" w:ascii="宋体" w:hAnsi="宋体" w:eastAsia="宋体" w:cs="宋体"/>
          <w:b/>
          <w:bCs/>
          <w:sz w:val="96"/>
          <w:szCs w:val="96"/>
        </w:rPr>
        <w:t>求</w:t>
      </w:r>
    </w:p>
    <w:p w14:paraId="3471EE03">
      <w:pPr>
        <w:rPr>
          <w:rFonts w:hint="eastAsia" w:ascii="宋体" w:hAnsi="宋体" w:eastAsia="宋体" w:cs="宋体"/>
          <w:b/>
          <w:bCs/>
          <w:sz w:val="36"/>
          <w:szCs w:val="36"/>
        </w:rPr>
      </w:pPr>
    </w:p>
    <w:p w14:paraId="5BC76944">
      <w:pPr>
        <w:rPr>
          <w:rFonts w:hint="eastAsia" w:ascii="宋体" w:hAnsi="宋体" w:eastAsia="宋体" w:cs="宋体"/>
          <w:b/>
          <w:bCs/>
          <w:sz w:val="36"/>
          <w:szCs w:val="36"/>
        </w:rPr>
      </w:pPr>
    </w:p>
    <w:p w14:paraId="6F4B5AC8">
      <w:pPr>
        <w:rPr>
          <w:rFonts w:hint="eastAsia" w:ascii="宋体" w:hAnsi="宋体" w:eastAsia="宋体" w:cs="宋体"/>
          <w:b/>
          <w:bCs/>
          <w:sz w:val="36"/>
          <w:szCs w:val="36"/>
        </w:rPr>
      </w:pPr>
    </w:p>
    <w:p w14:paraId="64E71463">
      <w:pPr>
        <w:rPr>
          <w:rFonts w:hint="eastAsia" w:ascii="宋体" w:hAnsi="宋体" w:eastAsia="宋体" w:cs="宋体"/>
          <w:b/>
          <w:bCs/>
          <w:sz w:val="36"/>
          <w:szCs w:val="36"/>
        </w:rPr>
      </w:pPr>
    </w:p>
    <w:p w14:paraId="0B63F174">
      <w:pPr>
        <w:rPr>
          <w:rFonts w:hint="eastAsia" w:ascii="宋体" w:hAnsi="宋体" w:eastAsia="宋体" w:cs="宋体"/>
          <w:b/>
          <w:bCs/>
          <w:sz w:val="36"/>
          <w:szCs w:val="36"/>
        </w:rPr>
      </w:pPr>
    </w:p>
    <w:p w14:paraId="62D84336">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娄底职业技术学院</w:t>
      </w:r>
      <w:r>
        <w:rPr>
          <w:rFonts w:hint="eastAsia" w:ascii="宋体" w:hAnsi="宋体" w:eastAsia="宋体" w:cs="宋体"/>
          <w:b/>
          <w:bCs/>
          <w:sz w:val="36"/>
          <w:szCs w:val="36"/>
          <w:lang w:eastAsia="zh-CN"/>
        </w:rPr>
        <w:t>思政课部</w:t>
      </w:r>
    </w:p>
    <w:p w14:paraId="1CA57DFA">
      <w:pPr>
        <w:jc w:val="center"/>
        <w:rPr>
          <w:rFonts w:hint="eastAsia" w:ascii="宋体" w:hAnsi="宋体" w:eastAsia="宋体" w:cs="宋体"/>
          <w:b/>
          <w:bCs/>
          <w:sz w:val="36"/>
          <w:szCs w:val="36"/>
        </w:rPr>
      </w:pPr>
      <w:r>
        <w:rPr>
          <w:rFonts w:hint="eastAsia" w:ascii="宋体" w:hAnsi="宋体" w:eastAsia="宋体" w:cs="宋体"/>
          <w:b/>
          <w:bCs/>
          <w:sz w:val="36"/>
          <w:szCs w:val="36"/>
        </w:rPr>
        <w:t>2025年</w:t>
      </w:r>
      <w:r>
        <w:rPr>
          <w:rFonts w:hint="eastAsia" w:ascii="宋体" w:hAnsi="宋体" w:eastAsia="宋体" w:cs="宋体"/>
          <w:b/>
          <w:bCs/>
          <w:sz w:val="36"/>
          <w:szCs w:val="36"/>
          <w:lang w:val="en-US" w:eastAsia="zh-CN"/>
        </w:rPr>
        <w:t>7</w:t>
      </w:r>
      <w:r>
        <w:rPr>
          <w:rFonts w:hint="eastAsia" w:ascii="宋体" w:hAnsi="宋体" w:eastAsia="宋体" w:cs="宋体"/>
          <w:b/>
          <w:bCs/>
          <w:sz w:val="36"/>
          <w:szCs w:val="36"/>
        </w:rPr>
        <w:t>月</w:t>
      </w:r>
    </w:p>
    <w:p w14:paraId="7B3E57FF">
      <w:pPr>
        <w:rPr>
          <w:rFonts w:hint="eastAsia" w:ascii="仿宋" w:hAnsi="仿宋" w:eastAsia="仿宋" w:cs="仿宋"/>
          <w:sz w:val="32"/>
          <w:szCs w:val="32"/>
        </w:rPr>
      </w:pPr>
    </w:p>
    <w:p w14:paraId="11CCC982">
      <w:pPr>
        <w:rPr>
          <w:rFonts w:hint="eastAsia" w:ascii="仿宋" w:hAnsi="仿宋" w:eastAsia="仿宋" w:cs="仿宋"/>
          <w:sz w:val="32"/>
          <w:szCs w:val="32"/>
        </w:rPr>
      </w:pPr>
    </w:p>
    <w:p w14:paraId="3178F03E">
      <w:pPr>
        <w:rPr>
          <w:rFonts w:hint="eastAsia" w:ascii="仿宋" w:hAnsi="仿宋" w:eastAsia="仿宋" w:cs="仿宋"/>
          <w:sz w:val="32"/>
          <w:szCs w:val="32"/>
        </w:rPr>
      </w:pPr>
    </w:p>
    <w:p w14:paraId="3BF6D744">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rPr>
        <w:t>娄底职业技术学院</w:t>
      </w:r>
      <w:r>
        <w:rPr>
          <w:rFonts w:hint="eastAsia" w:ascii="仿宋" w:hAnsi="仿宋" w:eastAsia="仿宋" w:cs="仿宋"/>
          <w:b/>
          <w:bCs/>
          <w:sz w:val="32"/>
          <w:szCs w:val="32"/>
          <w:lang w:val="en-US" w:eastAsia="zh-CN"/>
        </w:rPr>
        <w:t>红色故事报告科普视频制作项目</w:t>
      </w:r>
    </w:p>
    <w:p w14:paraId="232C3EF1">
      <w:pPr>
        <w:jc w:val="center"/>
        <w:rPr>
          <w:rFonts w:hint="eastAsia" w:ascii="仿宋" w:hAnsi="仿宋" w:eastAsia="仿宋" w:cs="仿宋"/>
          <w:sz w:val="32"/>
          <w:szCs w:val="32"/>
        </w:rPr>
      </w:pPr>
      <w:r>
        <w:rPr>
          <w:rFonts w:hint="eastAsia" w:ascii="仿宋" w:hAnsi="仿宋" w:eastAsia="仿宋" w:cs="仿宋"/>
          <w:b/>
          <w:bCs/>
          <w:sz w:val="32"/>
          <w:szCs w:val="32"/>
        </w:rPr>
        <w:t>采购需求</w:t>
      </w:r>
    </w:p>
    <w:p w14:paraId="54AF4786">
      <w:pPr>
        <w:numPr>
          <w:ilvl w:val="0"/>
          <w:numId w:val="1"/>
        </w:numPr>
        <w:jc w:val="left"/>
        <w:rPr>
          <w:rFonts w:hint="eastAsia" w:ascii="仿宋" w:hAnsi="仿宋" w:eastAsia="仿宋" w:cs="仿宋"/>
          <w:b/>
          <w:bCs/>
          <w:sz w:val="32"/>
          <w:szCs w:val="32"/>
        </w:rPr>
      </w:pPr>
      <w:r>
        <w:rPr>
          <w:rFonts w:hint="eastAsia" w:ascii="仿宋" w:hAnsi="仿宋" w:eastAsia="仿宋" w:cs="仿宋"/>
          <w:b/>
          <w:bCs/>
          <w:sz w:val="32"/>
          <w:szCs w:val="32"/>
        </w:rPr>
        <w:t>项目名称:</w:t>
      </w:r>
    </w:p>
    <w:p w14:paraId="3E034F5D">
      <w:pPr>
        <w:numPr>
          <w:numId w:val="0"/>
        </w:num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娄底职业技术学院</w:t>
      </w:r>
      <w:r>
        <w:rPr>
          <w:rFonts w:hint="eastAsia" w:ascii="仿宋" w:hAnsi="仿宋" w:eastAsia="仿宋" w:cs="仿宋"/>
          <w:sz w:val="32"/>
          <w:szCs w:val="32"/>
          <w:lang w:val="en-US" w:eastAsia="zh-CN"/>
        </w:rPr>
        <w:t>红色故事报告科普视频制作项目</w:t>
      </w:r>
      <w:r>
        <w:rPr>
          <w:rFonts w:hint="eastAsia" w:ascii="仿宋" w:hAnsi="仿宋" w:eastAsia="仿宋" w:cs="仿宋"/>
          <w:sz w:val="32"/>
          <w:szCs w:val="32"/>
        </w:rPr>
        <w:t>采购需求</w:t>
      </w:r>
      <w:r>
        <w:rPr>
          <w:rFonts w:hint="eastAsia" w:ascii="仿宋" w:hAnsi="仿宋" w:eastAsia="仿宋" w:cs="仿宋"/>
          <w:sz w:val="32"/>
          <w:szCs w:val="32"/>
          <w:lang w:eastAsia="zh-CN"/>
        </w:rPr>
        <w:t>。</w:t>
      </w:r>
    </w:p>
    <w:p w14:paraId="7B49C4BF">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预算控制价</w:t>
      </w:r>
      <w:r>
        <w:rPr>
          <w:rFonts w:hint="eastAsia" w:ascii="仿宋" w:hAnsi="仿宋" w:eastAsia="仿宋" w:cs="仿宋"/>
          <w:b w:val="0"/>
          <w:bCs w:val="0"/>
          <w:sz w:val="32"/>
          <w:szCs w:val="32"/>
        </w:rPr>
        <w:t>:</w:t>
      </w:r>
    </w:p>
    <w:p w14:paraId="62C94903">
      <w:pPr>
        <w:keepNext w:val="0"/>
        <w:keepLines w:val="0"/>
        <w:pageBreakBefore w:val="0"/>
        <w:widowControl w:val="0"/>
        <w:numPr>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lang w:val="en-US" w:eastAsia="zh-CN"/>
        </w:rPr>
        <w:t>3.8</w:t>
      </w:r>
      <w:r>
        <w:rPr>
          <w:rFonts w:hint="eastAsia" w:ascii="仿宋" w:hAnsi="仿宋" w:eastAsia="仿宋" w:cs="仿宋"/>
          <w:b w:val="0"/>
          <w:bCs w:val="0"/>
          <w:sz w:val="32"/>
          <w:szCs w:val="32"/>
        </w:rPr>
        <w:t>万元</w:t>
      </w:r>
      <w:r>
        <w:rPr>
          <w:rFonts w:hint="eastAsia" w:ascii="仿宋" w:hAnsi="仿宋" w:eastAsia="仿宋" w:cs="仿宋"/>
          <w:sz w:val="32"/>
          <w:szCs w:val="32"/>
          <w:lang w:eastAsia="zh-CN"/>
        </w:rPr>
        <w:t>。</w:t>
      </w:r>
    </w:p>
    <w:p w14:paraId="0E398CE3">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采购方式:</w:t>
      </w:r>
    </w:p>
    <w:p w14:paraId="50798F51">
      <w:pPr>
        <w:keepNext w:val="0"/>
        <w:keepLines w:val="0"/>
        <w:pageBreakBefore w:val="0"/>
        <w:widowControl w:val="0"/>
        <w:numPr>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询价</w:t>
      </w:r>
      <w:r>
        <w:rPr>
          <w:rFonts w:hint="eastAsia" w:ascii="仿宋" w:hAnsi="仿宋" w:eastAsia="仿宋" w:cs="仿宋"/>
          <w:sz w:val="32"/>
          <w:szCs w:val="32"/>
        </w:rPr>
        <w:t>采购</w:t>
      </w:r>
      <w:r>
        <w:rPr>
          <w:rFonts w:hint="eastAsia" w:ascii="仿宋" w:hAnsi="仿宋" w:eastAsia="仿宋" w:cs="仿宋"/>
          <w:sz w:val="32"/>
          <w:szCs w:val="32"/>
          <w:lang w:eastAsia="zh-CN"/>
        </w:rPr>
        <w:t>。</w:t>
      </w:r>
    </w:p>
    <w:p w14:paraId="621D239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四、</w:t>
      </w:r>
      <w:r>
        <w:rPr>
          <w:rFonts w:hint="eastAsia" w:ascii="仿宋" w:hAnsi="仿宋" w:eastAsia="仿宋" w:cs="仿宋"/>
          <w:b/>
          <w:bCs/>
          <w:sz w:val="32"/>
          <w:szCs w:val="32"/>
          <w:lang w:eastAsia="zh-CN"/>
        </w:rPr>
        <w:t>对投标人的要求：</w:t>
      </w:r>
    </w:p>
    <w:p w14:paraId="7649B6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（一）投标人基本资格条件：</w:t>
      </w:r>
      <w:r>
        <w:rPr>
          <w:rFonts w:hint="eastAsia" w:ascii="仿宋" w:hAnsi="仿宋" w:eastAsia="仿宋" w:cs="仿宋"/>
          <w:sz w:val="32"/>
          <w:szCs w:val="32"/>
        </w:rPr>
        <w:t>符合《政府采购法》第二十二条第一款的规定，即：</w:t>
      </w:r>
    </w:p>
    <w:p w14:paraId="21AF78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具有独立承担民事责任的能力；</w:t>
      </w:r>
    </w:p>
    <w:p w14:paraId="283A97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具有良好的商业信誉和健全的财务会计制度；</w:t>
      </w:r>
    </w:p>
    <w:p w14:paraId="05AF15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具有履行合同所必需的设备和专业技术能力；</w:t>
      </w:r>
    </w:p>
    <w:p w14:paraId="02B62F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有依法缴纳税收和社会保障资金的良好记录；</w:t>
      </w:r>
    </w:p>
    <w:p w14:paraId="699B3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参加政府采购活动前三年内，在经营活动中没有重大违法记录；</w:t>
      </w:r>
    </w:p>
    <w:p w14:paraId="6EC51D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法律、行政法规规定的其他条件。</w:t>
      </w:r>
    </w:p>
    <w:p w14:paraId="3C5131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根据《湖南省财政厅关于政府采购促进中小企业发展有关措施的通知》以上资格条件中的2、3、4、5、证明文件可以以承诺方式递交，如果是承诺方式，请提供《湖南省政府采购供应商资质承诺函》</w:t>
      </w:r>
      <w:r>
        <w:rPr>
          <w:rFonts w:hint="eastAsia" w:ascii="仿宋" w:hAnsi="仿宋" w:eastAsia="仿宋" w:cs="仿宋"/>
          <w:sz w:val="32"/>
          <w:szCs w:val="32"/>
          <w:lang w:eastAsia="zh-CN"/>
        </w:rPr>
        <w:t>（见附件）</w:t>
      </w:r>
    </w:p>
    <w:p w14:paraId="6CB57B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(三)投标人必须有相关资质，提供有效的法人营业执照副本。</w:t>
      </w:r>
    </w:p>
    <w:p w14:paraId="53A9EB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(四)投标人必须已入驻湖南省电子卖场，并提供电子卖场星级证明，有失信记录的供应商不得参与。</w:t>
      </w:r>
    </w:p>
    <w:p w14:paraId="21A240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(五)投标人须提供有效的类似业绩证明</w:t>
      </w:r>
      <w:r>
        <w:rPr>
          <w:rFonts w:hint="eastAsia" w:ascii="仿宋" w:hAnsi="仿宋" w:eastAsia="仿宋" w:cs="仿宋"/>
          <w:sz w:val="32"/>
          <w:szCs w:val="32"/>
          <w:lang w:val="en-US" w:eastAsia="zh-CN"/>
        </w:rPr>
        <w:t>2个</w:t>
      </w:r>
      <w:r>
        <w:rPr>
          <w:rFonts w:hint="eastAsia" w:ascii="仿宋" w:hAnsi="仿宋" w:eastAsia="仿宋" w:cs="仿宋"/>
          <w:sz w:val="32"/>
          <w:szCs w:val="32"/>
          <w:lang w:eastAsia="zh-CN"/>
        </w:rPr>
        <w:t>。</w:t>
      </w:r>
    </w:p>
    <w:p w14:paraId="2780002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五、采购基本要求</w:t>
      </w:r>
      <w:r>
        <w:rPr>
          <w:rFonts w:hint="eastAsia" w:ascii="仿宋" w:hAnsi="仿宋" w:eastAsia="仿宋" w:cs="仿宋"/>
          <w:b/>
          <w:bCs/>
          <w:sz w:val="32"/>
          <w:szCs w:val="32"/>
          <w:lang w:eastAsia="zh-CN"/>
        </w:rPr>
        <w:t>：</w:t>
      </w:r>
    </w:p>
    <w:p w14:paraId="75C4E4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(一)项目概述：遴选</w:t>
      </w:r>
      <w:r>
        <w:rPr>
          <w:rFonts w:hint="eastAsia" w:ascii="仿宋" w:hAnsi="仿宋" w:eastAsia="仿宋" w:cs="仿宋"/>
          <w:sz w:val="32"/>
          <w:szCs w:val="32"/>
          <w:lang w:val="en-US" w:eastAsia="zh-CN"/>
        </w:rPr>
        <w:t>4</w:t>
      </w:r>
      <w:r>
        <w:rPr>
          <w:rFonts w:hint="eastAsia" w:ascii="仿宋" w:hAnsi="仿宋" w:eastAsia="仿宋" w:cs="仿宋"/>
          <w:sz w:val="32"/>
          <w:szCs w:val="32"/>
        </w:rPr>
        <w:t>个以上的</w:t>
      </w:r>
      <w:r>
        <w:rPr>
          <w:rFonts w:hint="eastAsia" w:ascii="仿宋" w:hAnsi="仿宋" w:eastAsia="仿宋" w:cs="仿宋"/>
          <w:sz w:val="32"/>
          <w:szCs w:val="32"/>
          <w:lang w:val="en-US" w:eastAsia="zh-CN"/>
        </w:rPr>
        <w:t>娄底市范围内的</w:t>
      </w:r>
      <w:r>
        <w:rPr>
          <w:rFonts w:hint="eastAsia" w:ascii="仿宋" w:hAnsi="仿宋" w:eastAsia="仿宋" w:cs="仿宋"/>
          <w:sz w:val="32"/>
          <w:szCs w:val="32"/>
        </w:rPr>
        <w:t>红色</w:t>
      </w:r>
      <w:r>
        <w:rPr>
          <w:rFonts w:hint="eastAsia" w:ascii="仿宋" w:hAnsi="仿宋" w:eastAsia="仿宋" w:cs="仿宋"/>
          <w:sz w:val="32"/>
          <w:szCs w:val="32"/>
          <w:lang w:val="en-US" w:eastAsia="zh-CN"/>
        </w:rPr>
        <w:t>故事</w:t>
      </w:r>
      <w:r>
        <w:rPr>
          <w:rFonts w:hint="eastAsia" w:ascii="仿宋" w:hAnsi="仿宋" w:eastAsia="仿宋" w:cs="仿宋"/>
          <w:sz w:val="32"/>
          <w:szCs w:val="32"/>
        </w:rPr>
        <w:t>，</w:t>
      </w:r>
      <w:r>
        <w:rPr>
          <w:rFonts w:hint="eastAsia" w:ascii="仿宋" w:hAnsi="仿宋" w:eastAsia="仿宋" w:cs="仿宋"/>
          <w:sz w:val="32"/>
          <w:szCs w:val="32"/>
          <w:lang w:val="en-US" w:eastAsia="zh-CN"/>
        </w:rPr>
        <w:t>经有关利益关系人，以及市级主管职能部门审定后</w:t>
      </w:r>
      <w:r>
        <w:rPr>
          <w:rFonts w:hint="eastAsia" w:ascii="仿宋" w:hAnsi="仿宋" w:eastAsia="仿宋" w:cs="仿宋"/>
          <w:sz w:val="32"/>
          <w:szCs w:val="32"/>
        </w:rPr>
        <w:t>，</w:t>
      </w:r>
      <w:r>
        <w:rPr>
          <w:rFonts w:hint="eastAsia" w:ascii="仿宋" w:hAnsi="仿宋" w:eastAsia="仿宋" w:cs="仿宋"/>
          <w:sz w:val="32"/>
          <w:szCs w:val="32"/>
          <w:lang w:val="en-US" w:eastAsia="zh-CN"/>
        </w:rPr>
        <w:t>录制、编辑成教学科普视频，上传至省部级以上官方媒体发布</w:t>
      </w:r>
      <w:r>
        <w:rPr>
          <w:rFonts w:hint="eastAsia" w:ascii="仿宋" w:hAnsi="仿宋" w:eastAsia="仿宋" w:cs="仿宋"/>
          <w:sz w:val="32"/>
          <w:szCs w:val="32"/>
        </w:rPr>
        <w:t>。</w:t>
      </w:r>
    </w:p>
    <w:p w14:paraId="757B9F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(二)服务要求</w:t>
      </w:r>
    </w:p>
    <w:p w14:paraId="452E84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1、故事主人公是娄底市人；</w:t>
      </w:r>
    </w:p>
    <w:p w14:paraId="2FC0CC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2、主题具有正能量，有鼓舞激励作用；</w:t>
      </w:r>
    </w:p>
    <w:p w14:paraId="240233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3、事实准确，不编造；</w:t>
      </w:r>
    </w:p>
    <w:p w14:paraId="13E9EE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4、有自主知识产权，不能引发版权纠纷，承担版权纠纷全部后果；</w:t>
      </w:r>
    </w:p>
    <w:p w14:paraId="09FB24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5、高清画面，内容生动；</w:t>
      </w:r>
    </w:p>
    <w:p w14:paraId="636689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视频时长</w:t>
      </w:r>
      <w:r>
        <w:rPr>
          <w:rFonts w:hint="eastAsia" w:ascii="仿宋" w:hAnsi="仿宋" w:eastAsia="仿宋" w:cs="仿宋"/>
          <w:sz w:val="32"/>
          <w:szCs w:val="32"/>
          <w:lang w:val="en-US" w:eastAsia="zh-CN"/>
        </w:rPr>
        <w:t>根据故事完整性而定。</w:t>
      </w:r>
    </w:p>
    <w:p w14:paraId="564D93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(三)技术要求</w:t>
      </w:r>
    </w:p>
    <w:p w14:paraId="104C48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核心原则：准确性与政治性为本</w:t>
      </w:r>
      <w:r>
        <w:rPr>
          <w:rFonts w:hint="eastAsia" w:ascii="仿宋" w:hAnsi="仿宋" w:eastAsia="仿宋" w:cs="仿宋"/>
          <w:sz w:val="32"/>
          <w:szCs w:val="32"/>
          <w:lang w:eastAsia="zh-CN"/>
        </w:rPr>
        <w:t>。</w:t>
      </w:r>
      <w:r>
        <w:rPr>
          <w:rFonts w:hint="eastAsia" w:ascii="仿宋" w:hAnsi="仿宋" w:eastAsia="仿宋" w:cs="仿宋"/>
          <w:sz w:val="32"/>
          <w:szCs w:val="32"/>
        </w:rPr>
        <w:t>史实精准</w:t>
      </w:r>
      <w:r>
        <w:rPr>
          <w:rFonts w:hint="eastAsia" w:ascii="仿宋" w:hAnsi="仿宋" w:eastAsia="仿宋" w:cs="仿宋"/>
          <w:sz w:val="32"/>
          <w:szCs w:val="32"/>
          <w:lang w:eastAsia="zh-CN"/>
        </w:rPr>
        <w:t>，</w:t>
      </w:r>
      <w:r>
        <w:rPr>
          <w:rFonts w:hint="eastAsia" w:ascii="仿宋" w:hAnsi="仿宋" w:eastAsia="仿宋" w:cs="仿宋"/>
          <w:sz w:val="32"/>
          <w:szCs w:val="32"/>
        </w:rPr>
        <w:t>严谨考据</w:t>
      </w:r>
      <w:r>
        <w:rPr>
          <w:rFonts w:hint="eastAsia" w:ascii="仿宋" w:hAnsi="仿宋" w:eastAsia="仿宋" w:cs="仿宋"/>
          <w:sz w:val="32"/>
          <w:szCs w:val="32"/>
          <w:lang w:eastAsia="zh-CN"/>
        </w:rPr>
        <w:t>。</w:t>
      </w:r>
      <w:r>
        <w:rPr>
          <w:rFonts w:hint="eastAsia" w:ascii="仿宋" w:hAnsi="仿宋" w:eastAsia="仿宋" w:cs="仿宋"/>
          <w:sz w:val="32"/>
          <w:szCs w:val="32"/>
        </w:rPr>
        <w:t>所有历史人物、事件、时间、地点、背景信息必须基于权威史料、官方文件、党史研究最新成果。避免道听途说、野史传闻。优先采用中央档案馆、党史研究室、军史馆、革命纪念馆、权威出版社出版物等来源的资料。邀请相关领域的历史学者、党史专家、军史专家进行内容审核。立场鲜明</w:t>
      </w:r>
      <w:r>
        <w:rPr>
          <w:rFonts w:hint="eastAsia" w:ascii="仿宋" w:hAnsi="仿宋" w:eastAsia="仿宋" w:cs="仿宋"/>
          <w:sz w:val="32"/>
          <w:szCs w:val="32"/>
          <w:lang w:eastAsia="zh-CN"/>
        </w:rPr>
        <w:t>，</w:t>
      </w:r>
      <w:r>
        <w:rPr>
          <w:rFonts w:hint="eastAsia" w:ascii="仿宋" w:hAnsi="仿宋" w:eastAsia="仿宋" w:cs="仿宋"/>
          <w:sz w:val="32"/>
          <w:szCs w:val="32"/>
        </w:rPr>
        <w:t>坚定正确的政治方向，符合主流意识形态和社会主义核心价值观。表述规范</w:t>
      </w:r>
      <w:r>
        <w:rPr>
          <w:rFonts w:hint="eastAsia" w:ascii="仿宋" w:hAnsi="仿宋" w:eastAsia="仿宋" w:cs="仿宋"/>
          <w:sz w:val="32"/>
          <w:szCs w:val="32"/>
          <w:lang w:eastAsia="zh-CN"/>
        </w:rPr>
        <w:t>，</w:t>
      </w:r>
      <w:r>
        <w:rPr>
          <w:rFonts w:hint="eastAsia" w:ascii="仿宋" w:hAnsi="仿宋" w:eastAsia="仿宋" w:cs="仿宋"/>
          <w:sz w:val="32"/>
          <w:szCs w:val="32"/>
        </w:rPr>
        <w:t>严格使用规范、统一的提法和称谓（如人物称呼、党的理论、重要会议表述等）。避免使用有歧义或敏感的表述。突出红色精神的核心内涵（如革命理想、家国情怀、艰苦奋斗、无私奉献、牺牲精神），传播积极向上的正能量。要阐明“为什么”这些故事和精神在今天仍然重要。</w:t>
      </w:r>
    </w:p>
    <w:p w14:paraId="31340E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科学普及：深入浅出</w:t>
      </w:r>
      <w:r>
        <w:rPr>
          <w:rFonts w:hint="eastAsia" w:ascii="仿宋" w:hAnsi="仿宋" w:eastAsia="仿宋" w:cs="仿宋"/>
          <w:sz w:val="32"/>
          <w:szCs w:val="32"/>
          <w:lang w:eastAsia="zh-CN"/>
        </w:rPr>
        <w:t>。</w:t>
      </w:r>
      <w:r>
        <w:rPr>
          <w:rFonts w:hint="eastAsia" w:ascii="仿宋" w:hAnsi="仿宋" w:eastAsia="仿宋" w:cs="仿宋"/>
          <w:sz w:val="32"/>
          <w:szCs w:val="32"/>
        </w:rPr>
        <w:t>将复杂的历史背景、深刻的革命道理、抽象的精神价值，转化为通俗易懂、逻辑清晰的语言和画面。逻辑清晰</w:t>
      </w:r>
      <w:r>
        <w:rPr>
          <w:rFonts w:hint="eastAsia" w:ascii="仿宋" w:hAnsi="仿宋" w:eastAsia="仿宋" w:cs="仿宋"/>
          <w:sz w:val="32"/>
          <w:szCs w:val="32"/>
          <w:lang w:eastAsia="zh-CN"/>
        </w:rPr>
        <w:t>，</w:t>
      </w:r>
      <w:r>
        <w:rPr>
          <w:rFonts w:hint="eastAsia" w:ascii="仿宋" w:hAnsi="仿宋" w:eastAsia="仿宋" w:cs="仿宋"/>
          <w:sz w:val="32"/>
          <w:szCs w:val="32"/>
        </w:rPr>
        <w:t>叙事条理清晰，因果关系明确，能让观众轻松理解事件发展的脉络和精神产生的土壤。厘清误区</w:t>
      </w:r>
      <w:r>
        <w:rPr>
          <w:rFonts w:hint="eastAsia" w:ascii="仿宋" w:hAnsi="仿宋" w:eastAsia="仿宋" w:cs="仿宋"/>
          <w:sz w:val="32"/>
          <w:szCs w:val="32"/>
          <w:lang w:eastAsia="zh-CN"/>
        </w:rPr>
        <w:t>，</w:t>
      </w:r>
      <w:r>
        <w:rPr>
          <w:rFonts w:hint="eastAsia" w:ascii="仿宋" w:hAnsi="仿宋" w:eastAsia="仿宋" w:cs="仿宋"/>
          <w:sz w:val="32"/>
          <w:szCs w:val="32"/>
        </w:rPr>
        <w:t>如有必要，可针对社会上存在的一些认识模糊点或错误观点进行正本清源的科普解释。</w:t>
      </w:r>
    </w:p>
    <w:p w14:paraId="52739B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内容策划：讲好故事的深度与温度</w:t>
      </w:r>
      <w:r>
        <w:rPr>
          <w:rFonts w:hint="eastAsia" w:ascii="仿宋" w:hAnsi="仿宋" w:eastAsia="仿宋" w:cs="仿宋"/>
          <w:sz w:val="32"/>
          <w:szCs w:val="32"/>
          <w:lang w:eastAsia="zh-CN"/>
        </w:rPr>
        <w:t>。</w:t>
      </w:r>
      <w:r>
        <w:rPr>
          <w:rFonts w:hint="eastAsia" w:ascii="仿宋" w:hAnsi="仿宋" w:eastAsia="仿宋" w:cs="仿宋"/>
          <w:sz w:val="32"/>
          <w:szCs w:val="32"/>
        </w:rPr>
        <w:t>选题聚焦</w:t>
      </w:r>
      <w:r>
        <w:rPr>
          <w:rFonts w:hint="eastAsia" w:ascii="仿宋" w:hAnsi="仿宋" w:eastAsia="仿宋" w:cs="仿宋"/>
          <w:sz w:val="32"/>
          <w:szCs w:val="32"/>
          <w:lang w:eastAsia="zh-CN"/>
        </w:rPr>
        <w:t>，</w:t>
      </w:r>
      <w:r>
        <w:rPr>
          <w:rFonts w:hint="eastAsia" w:ascii="仿宋" w:hAnsi="仿宋" w:eastAsia="仿宋" w:cs="仿宋"/>
          <w:sz w:val="32"/>
          <w:szCs w:val="32"/>
        </w:rPr>
        <w:t>选择具有代表性、典型性、教育意义重大的故事。聚焦关键历史事件片段</w:t>
      </w:r>
      <w:r>
        <w:rPr>
          <w:rFonts w:hint="eastAsia" w:ascii="仿宋" w:hAnsi="仿宋" w:eastAsia="仿宋" w:cs="仿宋"/>
          <w:sz w:val="32"/>
          <w:szCs w:val="32"/>
          <w:lang w:eastAsia="zh-CN"/>
        </w:rPr>
        <w:t>，</w:t>
      </w:r>
      <w:r>
        <w:rPr>
          <w:rFonts w:hint="eastAsia" w:ascii="仿宋" w:hAnsi="仿宋" w:eastAsia="仿宋" w:cs="仿宋"/>
          <w:sz w:val="32"/>
          <w:szCs w:val="32"/>
        </w:rPr>
        <w:t>重要历史人物</w:t>
      </w:r>
      <w:r>
        <w:rPr>
          <w:rFonts w:hint="eastAsia" w:ascii="仿宋" w:hAnsi="仿宋" w:eastAsia="仿宋" w:cs="仿宋"/>
          <w:sz w:val="32"/>
          <w:szCs w:val="32"/>
          <w:lang w:eastAsia="zh-CN"/>
        </w:rPr>
        <w:t>，</w:t>
      </w:r>
      <w:r>
        <w:rPr>
          <w:rFonts w:hint="eastAsia" w:ascii="仿宋" w:hAnsi="仿宋" w:eastAsia="仿宋" w:cs="仿宋"/>
          <w:sz w:val="32"/>
          <w:szCs w:val="32"/>
        </w:rPr>
        <w:t>代表性革命文物/遗址（以物证史，讲物背后的故事）</w:t>
      </w:r>
      <w:r>
        <w:rPr>
          <w:rFonts w:hint="eastAsia" w:ascii="仿宋" w:hAnsi="仿宋" w:eastAsia="仿宋" w:cs="仿宋"/>
          <w:sz w:val="32"/>
          <w:szCs w:val="32"/>
          <w:lang w:eastAsia="zh-CN"/>
        </w:rPr>
        <w:t>，</w:t>
      </w:r>
      <w:r>
        <w:rPr>
          <w:rFonts w:hint="eastAsia" w:ascii="仿宋" w:hAnsi="仿宋" w:eastAsia="仿宋" w:cs="仿宋"/>
          <w:sz w:val="32"/>
          <w:szCs w:val="32"/>
        </w:rPr>
        <w:t>不朽的精神谱系</w:t>
      </w:r>
      <w:r>
        <w:rPr>
          <w:rFonts w:hint="eastAsia" w:ascii="仿宋" w:hAnsi="仿宋" w:eastAsia="仿宋" w:cs="仿宋"/>
          <w:sz w:val="32"/>
          <w:szCs w:val="32"/>
          <w:lang w:eastAsia="zh-CN"/>
        </w:rPr>
        <w:t>。</w:t>
      </w:r>
      <w:r>
        <w:rPr>
          <w:rFonts w:hint="eastAsia" w:ascii="仿宋" w:hAnsi="仿宋" w:eastAsia="仿宋" w:cs="仿宋"/>
          <w:sz w:val="32"/>
          <w:szCs w:val="32"/>
        </w:rPr>
        <w:t>考虑时代需求和受众关切，寻找历史与当下的连接点。避免空洞说教，从具体人物的选择、情感、挣扎、成长切入，让英雄、先烈变得可感、可亲、可敬。挖掘鲜为人知、打动人心的细节​（一句家书、一件遗物、一个抉择时刻），增强故事真实感和感染力。适当展现革命斗争中的艰难险阻、矛盾冲突、生死考验，增强叙事张力。科学科普中可加入对历史决策逻辑的分析。每个故事都应指向明确的红色精神内核。在结尾或关键处进行提炼升华，但要自然嵌入叙事中，避免生硬贴标签。</w:t>
      </w:r>
    </w:p>
    <w:p w14:paraId="16E87CC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rPr>
        <w:t>将精神内涵与当下青年关切、国家发展需求相联系，启发思考“我能做什么”。</w:t>
      </w:r>
    </w:p>
    <w:p w14:paraId="56D3C8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表现形式：创新与适配</w:t>
      </w:r>
      <w:r>
        <w:rPr>
          <w:rFonts w:hint="eastAsia" w:ascii="仿宋" w:hAnsi="仿宋" w:eastAsia="仿宋" w:cs="仿宋"/>
          <w:sz w:val="32"/>
          <w:szCs w:val="32"/>
          <w:lang w:eastAsia="zh-CN"/>
        </w:rPr>
        <w:t>，</w:t>
      </w:r>
      <w:r>
        <w:rPr>
          <w:rFonts w:hint="eastAsia" w:ascii="仿宋" w:hAnsi="仿宋" w:eastAsia="仿宋" w:cs="仿宋"/>
          <w:sz w:val="32"/>
          <w:szCs w:val="32"/>
        </w:rPr>
        <w:t>善用历史照片、影像资料​（务必来源可靠），标注清晰</w:t>
      </w:r>
      <w:r>
        <w:rPr>
          <w:rFonts w:hint="eastAsia" w:ascii="仿宋" w:hAnsi="仿宋" w:eastAsia="仿宋" w:cs="仿宋"/>
          <w:sz w:val="32"/>
          <w:szCs w:val="32"/>
          <w:lang w:eastAsia="zh-CN"/>
        </w:rPr>
        <w:t>，</w:t>
      </w:r>
      <w:r>
        <w:rPr>
          <w:rFonts w:hint="eastAsia" w:ascii="仿宋" w:hAnsi="仿宋" w:eastAsia="仿宋" w:cs="仿宋"/>
          <w:sz w:val="32"/>
          <w:szCs w:val="32"/>
        </w:rPr>
        <w:t>精心设计的情景再现（Re-enactment），服装、道具、场景尽可能考究，演员表演自然真诚。可加入动画模拟、CG还原​（如战役过程、行军路线）。主持人/记者实地探访历史遗址、纪念馆，触摸文物，采访亲历者/研究者后代。运用贴合时代背景和情绪基调的原创或版权清晰的配乐和环境音效，增强沉浸感和感染力。</w:t>
      </w:r>
    </w:p>
    <w:p w14:paraId="3DA5F8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节奏把控：开头抓人</w:t>
      </w:r>
      <w:r>
        <w:rPr>
          <w:rFonts w:hint="eastAsia" w:ascii="仿宋" w:hAnsi="仿宋" w:eastAsia="仿宋" w:cs="仿宋"/>
          <w:sz w:val="32"/>
          <w:szCs w:val="32"/>
          <w:lang w:eastAsia="zh-CN"/>
        </w:rPr>
        <w:t>，</w:t>
      </w:r>
      <w:r>
        <w:rPr>
          <w:rFonts w:hint="eastAsia" w:ascii="仿宋" w:hAnsi="仿宋" w:eastAsia="仿宋" w:cs="仿宋"/>
          <w:sz w:val="32"/>
          <w:szCs w:val="32"/>
        </w:rPr>
        <w:t>开篇要有吸引力（一个感人的细节、一个震撼的问题、一幅冲击力的画面）。整体节奏明快，避免拖沓。在关键情节可适当放缓，营造氛围。视频</w:t>
      </w:r>
      <w:r>
        <w:rPr>
          <w:rFonts w:hint="eastAsia" w:ascii="仿宋" w:hAnsi="仿宋" w:eastAsia="仿宋" w:cs="仿宋"/>
          <w:sz w:val="32"/>
          <w:szCs w:val="32"/>
          <w:lang w:val="en-US" w:eastAsia="zh-CN"/>
        </w:rPr>
        <w:t>时长</w:t>
      </w:r>
      <w:r>
        <w:rPr>
          <w:rFonts w:hint="eastAsia" w:ascii="仿宋" w:hAnsi="仿宋" w:eastAsia="仿宋" w:cs="仿宋"/>
          <w:sz w:val="32"/>
          <w:szCs w:val="32"/>
        </w:rPr>
        <w:t>建议5-8分钟以内；确保核心信息在有效时长内充分传递。</w:t>
      </w:r>
    </w:p>
    <w:p w14:paraId="12DDAA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视觉风格：整体风格应与内容主题相符，庄重大气而不失活力。避免过于廉价或轻浮的包装。运用电影级构图、色彩调色​（如还原历史氛围的颜色倾向）提升质感。特效运用恰到好处，服务于内容而非炫技。</w:t>
      </w:r>
    </w:p>
    <w:p w14:paraId="0ACC71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传播适配：让科普有效触达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必须上传省部级以上官方媒体。</w:t>
      </w:r>
      <w:r>
        <w:rPr>
          <w:rFonts w:hint="eastAsia" w:ascii="仿宋" w:hAnsi="仿宋" w:eastAsia="仿宋" w:cs="仿宋"/>
          <w:sz w:val="32"/>
          <w:szCs w:val="32"/>
        </w:rPr>
        <w:t>标题精准</w:t>
      </w:r>
      <w:r>
        <w:rPr>
          <w:rFonts w:hint="eastAsia" w:ascii="仿宋" w:hAnsi="仿宋" w:eastAsia="仿宋" w:cs="仿宋"/>
          <w:sz w:val="32"/>
          <w:szCs w:val="32"/>
          <w:lang w:eastAsia="zh-CN"/>
        </w:rPr>
        <w:t>：</w:t>
      </w:r>
      <w:r>
        <w:rPr>
          <w:rFonts w:hint="eastAsia" w:ascii="仿宋" w:hAnsi="仿宋" w:eastAsia="仿宋" w:cs="仿宋"/>
          <w:sz w:val="32"/>
          <w:szCs w:val="32"/>
        </w:rPr>
        <w:t>点明核心内容/亮点，可适当加入悬念词或数字（如“90年前的今天”“三个鲜为人知的细节”）。</w:t>
      </w:r>
    </w:p>
    <w:p w14:paraId="271F42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封面吸睛</w:t>
      </w:r>
      <w:r>
        <w:rPr>
          <w:rFonts w:hint="eastAsia" w:ascii="仿宋" w:hAnsi="仿宋" w:eastAsia="仿宋" w:cs="仿宋"/>
          <w:sz w:val="32"/>
          <w:szCs w:val="32"/>
          <w:lang w:eastAsia="zh-CN"/>
        </w:rPr>
        <w:t>，</w:t>
      </w:r>
      <w:r>
        <w:rPr>
          <w:rFonts w:hint="eastAsia" w:ascii="仿宋" w:hAnsi="仿宋" w:eastAsia="仿宋" w:cs="仿宋"/>
          <w:sz w:val="32"/>
          <w:szCs w:val="32"/>
        </w:rPr>
        <w:t>选择最具代表性和视觉冲击力的画面，配合精炼有力的文字标题。</w:t>
      </w:r>
    </w:p>
    <w:p w14:paraId="5D54B7FD">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制作流程与团队要求</w:t>
      </w:r>
      <w:r>
        <w:rPr>
          <w:rFonts w:hint="eastAsia" w:ascii="仿宋" w:hAnsi="仿宋" w:eastAsia="仿宋" w:cs="仿宋"/>
          <w:sz w:val="32"/>
          <w:szCs w:val="32"/>
          <w:lang w:eastAsia="zh-CN"/>
        </w:rPr>
        <w:t>：</w:t>
      </w:r>
      <w:r>
        <w:rPr>
          <w:rFonts w:hint="eastAsia" w:ascii="仿宋" w:hAnsi="仿宋" w:eastAsia="仿宋" w:cs="仿宋"/>
          <w:sz w:val="32"/>
          <w:szCs w:val="32"/>
        </w:rPr>
        <w:t>脚本策划（需兼具历史素养和影视表达）、导演、专业摄影师/剪辑师、平面/动画设计师、配乐师、历史顾问（必须）。与党史研究机构、高校历史系、革命纪念馆等建立合作关系，确保学术严谨。脚本、解说词、故事板/分镜必须通过相关领域专家（至少1-2位）的严格审核</w:t>
      </w:r>
      <w:r>
        <w:rPr>
          <w:rFonts w:hint="eastAsia" w:ascii="仿宋" w:hAnsi="仿宋" w:eastAsia="仿宋" w:cs="仿宋"/>
          <w:sz w:val="32"/>
          <w:szCs w:val="32"/>
          <w:lang w:eastAsia="zh-CN"/>
        </w:rPr>
        <w:t>。</w:t>
      </w:r>
      <w:r>
        <w:rPr>
          <w:rFonts w:hint="eastAsia" w:ascii="仿宋" w:hAnsi="仿宋" w:eastAsia="仿宋" w:cs="仿宋"/>
          <w:sz w:val="32"/>
          <w:szCs w:val="32"/>
        </w:rPr>
        <w:t>严格遵守审核后的脚本执行，拍摄素材需体现专业性。初剪版本需再次送专家审看内容和史实准确性</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p>
    <w:p w14:paraId="0CEE1D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伦理与规范：尊重历史，尊重英烈</w:t>
      </w:r>
      <w:r>
        <w:rPr>
          <w:rFonts w:hint="eastAsia" w:ascii="仿宋" w:hAnsi="仿宋" w:eastAsia="仿宋" w:cs="仿宋"/>
          <w:sz w:val="32"/>
          <w:szCs w:val="32"/>
          <w:lang w:eastAsia="zh-CN"/>
        </w:rPr>
        <w:t>，</w:t>
      </w:r>
      <w:r>
        <w:rPr>
          <w:rFonts w:hint="eastAsia" w:ascii="仿宋" w:hAnsi="仿宋" w:eastAsia="仿宋" w:cs="仿宋"/>
          <w:sz w:val="32"/>
          <w:szCs w:val="32"/>
        </w:rPr>
        <w:t>对英烈人物保持最高敬意，任何演绎、再现都要以尊重为前提。使用所有史料图片、影像、音乐、字体等必须取得合法授权或使用版权公开的素材</w:t>
      </w:r>
      <w:r>
        <w:rPr>
          <w:rFonts w:hint="eastAsia" w:ascii="仿宋" w:hAnsi="仿宋" w:eastAsia="仿宋" w:cs="仿宋"/>
          <w:sz w:val="32"/>
          <w:szCs w:val="32"/>
          <w:lang w:eastAsia="zh-CN"/>
        </w:rPr>
        <w:t>，</w:t>
      </w:r>
      <w:r>
        <w:rPr>
          <w:rFonts w:hint="eastAsia" w:ascii="仿宋" w:hAnsi="仿宋" w:eastAsia="仿宋" w:cs="仿宋"/>
          <w:sz w:val="32"/>
          <w:szCs w:val="32"/>
        </w:rPr>
        <w:t xml:space="preserve"> 对可能存在的敏感信息、边疆民族地区历史等进行专项评估和报审。</w:t>
      </w:r>
    </w:p>
    <w:p w14:paraId="6A90B1D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六、完成时间</w:t>
      </w:r>
      <w:r>
        <w:rPr>
          <w:rFonts w:hint="eastAsia" w:ascii="仿宋" w:hAnsi="仿宋" w:eastAsia="仿宋" w:cs="仿宋"/>
          <w:b/>
          <w:bCs/>
          <w:sz w:val="32"/>
          <w:szCs w:val="32"/>
          <w:lang w:eastAsia="zh-CN"/>
        </w:rPr>
        <w:t>：</w:t>
      </w:r>
    </w:p>
    <w:p w14:paraId="5485AD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r>
        <w:rPr>
          <w:rFonts w:hint="eastAsia" w:ascii="仿宋" w:hAnsi="仿宋" w:eastAsia="仿宋" w:cs="仿宋"/>
          <w:sz w:val="32"/>
          <w:szCs w:val="32"/>
          <w:lang w:eastAsia="zh-CN"/>
        </w:rPr>
        <w:t>前</w:t>
      </w:r>
      <w:r>
        <w:rPr>
          <w:rFonts w:hint="eastAsia" w:ascii="仿宋" w:hAnsi="仿宋" w:eastAsia="仿宋" w:cs="仿宋"/>
          <w:sz w:val="32"/>
          <w:szCs w:val="32"/>
        </w:rPr>
        <w:t>。</w:t>
      </w:r>
    </w:p>
    <w:p w14:paraId="6692306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七、项目建设企业职责</w:t>
      </w:r>
      <w:r>
        <w:rPr>
          <w:rFonts w:hint="eastAsia" w:ascii="仿宋" w:hAnsi="仿宋" w:eastAsia="仿宋" w:cs="仿宋"/>
          <w:b/>
          <w:bCs/>
          <w:sz w:val="32"/>
          <w:szCs w:val="32"/>
          <w:lang w:eastAsia="zh-CN"/>
        </w:rPr>
        <w:t>：</w:t>
      </w:r>
    </w:p>
    <w:p w14:paraId="739835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1.负责提供专家团队资源</w:t>
      </w:r>
      <w:r>
        <w:rPr>
          <w:rFonts w:hint="eastAsia" w:ascii="仿宋" w:hAnsi="仿宋" w:eastAsia="仿宋" w:cs="仿宋"/>
          <w:sz w:val="32"/>
          <w:szCs w:val="32"/>
          <w:lang w:val="en-US" w:eastAsia="zh-CN"/>
        </w:rPr>
        <w:t>；</w:t>
      </w:r>
    </w:p>
    <w:p w14:paraId="4198A0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2.按学校要求组织实施</w:t>
      </w:r>
      <w:r>
        <w:rPr>
          <w:rFonts w:hint="eastAsia" w:ascii="仿宋" w:hAnsi="仿宋" w:eastAsia="仿宋" w:cs="仿宋"/>
          <w:sz w:val="32"/>
          <w:szCs w:val="32"/>
          <w:lang w:val="en-US" w:eastAsia="zh-CN"/>
        </w:rPr>
        <w:t>；</w:t>
      </w:r>
    </w:p>
    <w:p w14:paraId="063572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3.通过邮件、电话、微信、现场等形式向学校提供咨询服务</w:t>
      </w:r>
      <w:r>
        <w:rPr>
          <w:rFonts w:hint="eastAsia" w:ascii="仿宋" w:hAnsi="仿宋" w:eastAsia="仿宋" w:cs="仿宋"/>
          <w:sz w:val="32"/>
          <w:szCs w:val="32"/>
          <w:lang w:val="en-US" w:eastAsia="zh-CN"/>
        </w:rPr>
        <w:t>；</w:t>
      </w:r>
    </w:p>
    <w:p w14:paraId="3025EB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4.专家指导、咨询和服务的方式采取线上线下相结合的方式进行。</w:t>
      </w:r>
    </w:p>
    <w:p w14:paraId="312469E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八、成果形式与成果归属</w:t>
      </w:r>
      <w:r>
        <w:rPr>
          <w:rFonts w:hint="eastAsia" w:ascii="仿宋" w:hAnsi="仿宋" w:eastAsia="仿宋" w:cs="仿宋"/>
          <w:b/>
          <w:bCs/>
          <w:sz w:val="32"/>
          <w:szCs w:val="32"/>
          <w:lang w:eastAsia="zh-CN"/>
        </w:rPr>
        <w:t>：</w:t>
      </w:r>
    </w:p>
    <w:p w14:paraId="63ED4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所有成果归娄底职业技术学院，</w:t>
      </w:r>
      <w:r>
        <w:rPr>
          <w:rFonts w:hint="eastAsia" w:ascii="仿宋" w:hAnsi="仿宋" w:eastAsia="仿宋" w:cs="仿宋"/>
          <w:sz w:val="32"/>
          <w:szCs w:val="32"/>
          <w:lang w:val="en-US" w:eastAsia="zh-CN"/>
        </w:rPr>
        <w:t>供应商不再</w:t>
      </w:r>
      <w:r>
        <w:rPr>
          <w:rFonts w:hint="eastAsia" w:ascii="仿宋" w:hAnsi="仿宋" w:eastAsia="仿宋" w:cs="仿宋"/>
          <w:sz w:val="32"/>
          <w:szCs w:val="32"/>
        </w:rPr>
        <w:t>享有使用权、修改权和传播权。</w:t>
      </w:r>
    </w:p>
    <w:p w14:paraId="201013E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九、保密说明</w:t>
      </w:r>
      <w:r>
        <w:rPr>
          <w:rFonts w:hint="eastAsia" w:ascii="仿宋" w:hAnsi="仿宋" w:eastAsia="仿宋" w:cs="仿宋"/>
          <w:b/>
          <w:bCs/>
          <w:sz w:val="32"/>
          <w:szCs w:val="32"/>
          <w:lang w:eastAsia="zh-CN"/>
        </w:rPr>
        <w:t>：</w:t>
      </w:r>
    </w:p>
    <w:p w14:paraId="137A68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1.校企双方应对本合作项目，以及通过合作过程中得知的有关成果和数据严格保密，未经对方事先书面同意，不得向第三方披露。</w:t>
      </w:r>
    </w:p>
    <w:p w14:paraId="7997F5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2.除本项目所需外，未经对方事先书面同意，不得擅自使用、复制对方的技术资料、相关信息、视频素材及其他资料。</w:t>
      </w:r>
    </w:p>
    <w:p w14:paraId="3572485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十、报价要求：</w:t>
      </w:r>
      <w:r>
        <w:rPr>
          <w:rFonts w:hint="eastAsia" w:ascii="仿宋" w:hAnsi="仿宋" w:eastAsia="仿宋" w:cs="仿宋"/>
          <w:b w:val="0"/>
          <w:bCs w:val="0"/>
          <w:sz w:val="32"/>
          <w:szCs w:val="32"/>
          <w:lang w:eastAsia="zh-CN"/>
        </w:rPr>
        <w:t>总价不能高于总价预算控制价，分价不能高于分项控制价。</w:t>
      </w:r>
    </w:p>
    <w:p w14:paraId="6B56B0B6">
      <w:pPr>
        <w:pStyle w:val="5"/>
        <w:ind w:left="0" w:leftChars="0"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十一、售后服务：</w:t>
      </w:r>
    </w:p>
    <w:p w14:paraId="7E501AF7">
      <w:pPr>
        <w:pStyle w:val="5"/>
        <w:ind w:left="0" w:leftChars="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1、须提供7X24 热线服务;</w:t>
      </w:r>
    </w:p>
    <w:p w14:paraId="6D7E747D">
      <w:pPr>
        <w:pStyle w:val="5"/>
        <w:ind w:left="0" w:leftChars="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2、产品出现故障时，10分钟内响应，12 小时内提出解决方案;</w:t>
      </w:r>
    </w:p>
    <w:p w14:paraId="07112420">
      <w:pPr>
        <w:pStyle w:val="5"/>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3、须至现场解决产品故障的，8小时内到达现场进行维护，24 小时内排除故障。</w:t>
      </w:r>
    </w:p>
    <w:p w14:paraId="07B7EA8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验收要求：</w:t>
      </w:r>
    </w:p>
    <w:p w14:paraId="011FB3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1、红色故事文本内容经有关职能部门审核；</w:t>
      </w:r>
    </w:p>
    <w:p w14:paraId="17A3B2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2、所有视频须在省部级以上官方媒体正式发布后，乙方才可申请验收。</w:t>
      </w:r>
    </w:p>
    <w:p w14:paraId="2C53EC8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十三、</w:t>
      </w:r>
      <w:r>
        <w:rPr>
          <w:rFonts w:hint="eastAsia" w:ascii="仿宋" w:hAnsi="仿宋" w:eastAsia="仿宋" w:cs="仿宋"/>
          <w:b/>
          <w:bCs/>
          <w:sz w:val="32"/>
          <w:szCs w:val="32"/>
        </w:rPr>
        <w:t>付款方式</w:t>
      </w:r>
    </w:p>
    <w:p w14:paraId="062176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所有视频须在</w:t>
      </w:r>
      <w:r>
        <w:rPr>
          <w:rFonts w:hint="eastAsia" w:ascii="仿宋" w:hAnsi="仿宋" w:eastAsia="仿宋" w:cs="仿宋"/>
          <w:sz w:val="32"/>
          <w:szCs w:val="32"/>
          <w:lang w:val="en-US" w:eastAsia="zh-CN"/>
        </w:rPr>
        <w:t>省部级以上官方媒体正式发布后</w:t>
      </w:r>
      <w:r>
        <w:rPr>
          <w:rFonts w:hint="eastAsia" w:ascii="仿宋" w:hAnsi="仿宋" w:eastAsia="仿宋" w:cs="仿宋"/>
          <w:sz w:val="32"/>
          <w:szCs w:val="32"/>
        </w:rPr>
        <w:t>，</w:t>
      </w:r>
      <w:r>
        <w:rPr>
          <w:rFonts w:hint="eastAsia" w:ascii="仿宋" w:hAnsi="仿宋" w:eastAsia="仿宋" w:cs="仿宋"/>
          <w:sz w:val="32"/>
          <w:szCs w:val="32"/>
          <w:lang w:val="en-US" w:eastAsia="zh-CN"/>
        </w:rPr>
        <w:t>甲方在一个月内</w:t>
      </w:r>
      <w:r>
        <w:rPr>
          <w:rFonts w:hint="eastAsia" w:ascii="仿宋" w:hAnsi="仿宋" w:eastAsia="仿宋" w:cs="仿宋"/>
          <w:sz w:val="32"/>
          <w:szCs w:val="32"/>
        </w:rPr>
        <w:t>支付合同</w:t>
      </w:r>
      <w:r>
        <w:rPr>
          <w:rFonts w:hint="eastAsia" w:ascii="仿宋" w:hAnsi="仿宋" w:eastAsia="仿宋" w:cs="仿宋"/>
          <w:sz w:val="32"/>
          <w:szCs w:val="32"/>
          <w:lang w:eastAsia="zh-CN"/>
        </w:rPr>
        <w:t>全部</w:t>
      </w:r>
      <w:r>
        <w:rPr>
          <w:rFonts w:hint="eastAsia" w:ascii="仿宋" w:hAnsi="仿宋" w:eastAsia="仿宋" w:cs="仿宋"/>
          <w:sz w:val="32"/>
          <w:szCs w:val="32"/>
        </w:rPr>
        <w:t>款项。</w:t>
      </w:r>
    </w:p>
    <w:p w14:paraId="51207189">
      <w:pPr>
        <w:rPr>
          <w:rFonts w:hint="default"/>
          <w:lang w:val="en-US" w:eastAsia="zh-CN"/>
        </w:rPr>
      </w:pPr>
    </w:p>
    <w:p w14:paraId="5D4A6D16">
      <w:pPr>
        <w:pStyle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5549B283">
      <w:pPr>
        <w:pStyle w:val="5"/>
        <w:ind w:firstLine="5798" w:firstLineChars="181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思政课教学部</w:t>
      </w:r>
    </w:p>
    <w:p w14:paraId="68340D2B">
      <w:pPr>
        <w:pStyle w:val="5"/>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2025年7月7日</w:t>
      </w:r>
    </w:p>
    <w:p w14:paraId="61EC3697">
      <w:pPr>
        <w:pStyle w:val="5"/>
        <w:rPr>
          <w:rFonts w:hint="eastAsia" w:ascii="仿宋" w:hAnsi="仿宋" w:eastAsia="仿宋" w:cs="仿宋"/>
          <w:sz w:val="32"/>
          <w:szCs w:val="32"/>
        </w:rPr>
      </w:pPr>
    </w:p>
    <w:p w14:paraId="11340282">
      <w:pPr>
        <w:pStyle w:val="5"/>
        <w:rPr>
          <w:rFonts w:hint="eastAsia" w:ascii="仿宋" w:hAnsi="仿宋" w:eastAsia="仿宋" w:cs="仿宋"/>
          <w:sz w:val="32"/>
          <w:szCs w:val="32"/>
        </w:rPr>
      </w:pPr>
    </w:p>
    <w:p w14:paraId="72DD832B">
      <w:pPr>
        <w:pStyle w:val="5"/>
        <w:rPr>
          <w:rFonts w:hint="eastAsia" w:ascii="仿宋" w:hAnsi="仿宋" w:eastAsia="仿宋" w:cs="仿宋"/>
          <w:sz w:val="32"/>
          <w:szCs w:val="32"/>
        </w:rPr>
      </w:pPr>
    </w:p>
    <w:p w14:paraId="6D6769CE">
      <w:pPr>
        <w:pStyle w:val="5"/>
        <w:rPr>
          <w:rFonts w:hint="eastAsia" w:ascii="仿宋" w:hAnsi="仿宋" w:eastAsia="仿宋" w:cs="仿宋"/>
          <w:sz w:val="32"/>
          <w:szCs w:val="32"/>
        </w:rPr>
      </w:pPr>
    </w:p>
    <w:p w14:paraId="78131DEC">
      <w:pPr>
        <w:pStyle w:val="5"/>
        <w:rPr>
          <w:rFonts w:hint="eastAsia" w:ascii="仿宋" w:hAnsi="仿宋" w:eastAsia="仿宋" w:cs="仿宋"/>
          <w:sz w:val="32"/>
          <w:szCs w:val="32"/>
        </w:rPr>
      </w:pPr>
    </w:p>
    <w:p w14:paraId="1CC2A56B">
      <w:pPr>
        <w:pStyle w:val="5"/>
        <w:rPr>
          <w:rFonts w:hint="eastAsia" w:ascii="仿宋" w:hAnsi="仿宋" w:eastAsia="仿宋" w:cs="仿宋"/>
          <w:sz w:val="32"/>
          <w:szCs w:val="32"/>
        </w:rPr>
      </w:pPr>
    </w:p>
    <w:p w14:paraId="1A40C263">
      <w:pPr>
        <w:pStyle w:val="5"/>
        <w:rPr>
          <w:rFonts w:hint="eastAsia" w:ascii="仿宋" w:hAnsi="仿宋" w:eastAsia="仿宋" w:cs="仿宋"/>
          <w:sz w:val="32"/>
          <w:szCs w:val="32"/>
        </w:rPr>
      </w:pPr>
    </w:p>
    <w:p w14:paraId="2ADCBBF3">
      <w:pPr>
        <w:pStyle w:val="5"/>
        <w:rPr>
          <w:rFonts w:hint="eastAsia" w:ascii="仿宋" w:hAnsi="仿宋" w:eastAsia="仿宋" w:cs="仿宋"/>
          <w:sz w:val="32"/>
          <w:szCs w:val="32"/>
        </w:rPr>
      </w:pPr>
    </w:p>
    <w:p w14:paraId="003F4CE9">
      <w:pPr>
        <w:pStyle w:val="5"/>
        <w:rPr>
          <w:rFonts w:hint="eastAsia" w:ascii="仿宋" w:hAnsi="仿宋" w:eastAsia="仿宋" w:cs="仿宋"/>
          <w:sz w:val="32"/>
          <w:szCs w:val="32"/>
        </w:rPr>
      </w:pPr>
    </w:p>
    <w:p w14:paraId="32BD29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64ED74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r>
        <w:rPr>
          <w:rFonts w:hint="eastAsia" w:ascii="宋体" w:hAnsi="宋体" w:eastAsia="宋体" w:cs="宋体"/>
          <w:b/>
          <w:bCs/>
          <w:color w:val="000000"/>
          <w:kern w:val="0"/>
          <w:sz w:val="28"/>
          <w:szCs w:val="28"/>
          <w:shd w:val="clear" w:fill="FFFFFF"/>
          <w:lang w:val="en-US" w:eastAsia="zh-CN" w:bidi="ar"/>
        </w:rPr>
        <w:t>附件1：</w:t>
      </w:r>
    </w:p>
    <w:p w14:paraId="633208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center"/>
        <w:rPr>
          <w:rFonts w:hint="eastAsia" w:ascii="宋体" w:hAnsi="宋体" w:eastAsia="宋体" w:cs="宋体"/>
          <w:b/>
          <w:bCs/>
          <w:color w:val="000000"/>
          <w:kern w:val="0"/>
          <w:sz w:val="32"/>
          <w:szCs w:val="32"/>
          <w:shd w:val="clear" w:fill="FFFFFF"/>
          <w:lang w:val="en-US" w:eastAsia="zh-CN" w:bidi="ar"/>
        </w:rPr>
      </w:pPr>
      <w:r>
        <w:rPr>
          <w:rFonts w:hint="eastAsia" w:ascii="宋体" w:hAnsi="宋体" w:eastAsia="宋体" w:cs="宋体"/>
          <w:b/>
          <w:bCs/>
          <w:color w:val="000000"/>
          <w:kern w:val="0"/>
          <w:sz w:val="32"/>
          <w:szCs w:val="32"/>
          <w:shd w:val="clear" w:fill="FFFFFF"/>
          <w:lang w:val="en-US" w:eastAsia="zh-CN" w:bidi="ar"/>
        </w:rPr>
        <w:t>各类作品制作要求</w:t>
      </w:r>
    </w:p>
    <w:tbl>
      <w:tblPr>
        <w:tblStyle w:val="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770"/>
        <w:gridCol w:w="1770"/>
        <w:gridCol w:w="1770"/>
        <w:gridCol w:w="1144"/>
        <w:gridCol w:w="1095"/>
      </w:tblGrid>
      <w:tr w14:paraId="7129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blHeader/>
          <w:jc w:val="center"/>
        </w:trPr>
        <w:tc>
          <w:tcPr>
            <w:tcW w:w="1771" w:type="dxa"/>
            <w:vAlign w:val="center"/>
          </w:tcPr>
          <w:p w14:paraId="07F3C5E1">
            <w:pPr>
              <w:pStyle w:val="3"/>
              <w:keepNext w:val="0"/>
              <w:keepLines w:val="0"/>
              <w:pageBreakBefore w:val="0"/>
              <w:widowControl w:val="0"/>
              <w:kinsoku/>
              <w:wordWrap/>
              <w:overflowPunct/>
              <w:topLinePunct w:val="0"/>
              <w:autoSpaceDE/>
              <w:autoSpaceDN/>
              <w:bidi w:val="0"/>
              <w:adjustRightInd/>
              <w:spacing w:line="300" w:lineRule="exact"/>
              <w:ind w:right="0"/>
              <w:jc w:val="center"/>
              <w:textAlignment w:val="auto"/>
              <w:rPr>
                <w:rFonts w:hint="eastAsia" w:asciiTheme="minorEastAsia" w:hAnsiTheme="minorEastAsia" w:eastAsiaTheme="minorEastAsia" w:cstheme="minorEastAsia"/>
                <w:b/>
                <w:bCs/>
                <w:spacing w:val="5"/>
                <w:w w:val="100"/>
                <w:sz w:val="21"/>
                <w:szCs w:val="21"/>
                <w:lang w:val="en-US" w:eastAsia="zh-CN"/>
              </w:rPr>
            </w:pPr>
            <w:r>
              <w:rPr>
                <w:rFonts w:hint="eastAsia" w:asciiTheme="minorEastAsia" w:hAnsiTheme="minorEastAsia" w:eastAsiaTheme="minorEastAsia" w:cstheme="minorEastAsia"/>
                <w:b/>
                <w:bCs/>
                <w:spacing w:val="5"/>
                <w:w w:val="100"/>
                <w:sz w:val="21"/>
                <w:szCs w:val="21"/>
                <w:lang w:val="en-US" w:eastAsia="zh-CN"/>
              </w:rPr>
              <w:t>项目名称</w:t>
            </w:r>
          </w:p>
        </w:tc>
        <w:tc>
          <w:tcPr>
            <w:tcW w:w="1770" w:type="dxa"/>
            <w:vAlign w:val="center"/>
          </w:tcPr>
          <w:p w14:paraId="358ED726">
            <w:pPr>
              <w:pStyle w:val="3"/>
              <w:keepNext w:val="0"/>
              <w:keepLines w:val="0"/>
              <w:pageBreakBefore w:val="0"/>
              <w:widowControl w:val="0"/>
              <w:kinsoku/>
              <w:wordWrap/>
              <w:overflowPunct/>
              <w:topLinePunct w:val="0"/>
              <w:autoSpaceDE/>
              <w:autoSpaceDN/>
              <w:bidi w:val="0"/>
              <w:adjustRightInd/>
              <w:spacing w:line="300" w:lineRule="exact"/>
              <w:ind w:right="0"/>
              <w:jc w:val="center"/>
              <w:textAlignment w:val="auto"/>
              <w:rPr>
                <w:rFonts w:hint="eastAsia" w:asciiTheme="minorEastAsia" w:hAnsiTheme="minorEastAsia" w:eastAsiaTheme="minorEastAsia" w:cstheme="minorEastAsia"/>
                <w:b/>
                <w:bCs/>
                <w:spacing w:val="5"/>
                <w:w w:val="100"/>
                <w:sz w:val="21"/>
                <w:szCs w:val="21"/>
                <w:lang w:val="en-US" w:eastAsia="zh-CN"/>
              </w:rPr>
            </w:pPr>
            <w:r>
              <w:rPr>
                <w:rFonts w:hint="eastAsia" w:asciiTheme="minorEastAsia" w:hAnsiTheme="minorEastAsia" w:eastAsiaTheme="minorEastAsia" w:cstheme="minorEastAsia"/>
                <w:b/>
                <w:bCs/>
                <w:spacing w:val="5"/>
                <w:w w:val="100"/>
                <w:sz w:val="21"/>
                <w:szCs w:val="21"/>
                <w:lang w:val="en-US" w:eastAsia="zh-CN"/>
              </w:rPr>
              <w:t>团队要求</w:t>
            </w:r>
          </w:p>
        </w:tc>
        <w:tc>
          <w:tcPr>
            <w:tcW w:w="1770" w:type="dxa"/>
            <w:vAlign w:val="center"/>
          </w:tcPr>
          <w:p w14:paraId="06BA9C9D">
            <w:pPr>
              <w:pStyle w:val="3"/>
              <w:keepNext w:val="0"/>
              <w:keepLines w:val="0"/>
              <w:pageBreakBefore w:val="0"/>
              <w:widowControl w:val="0"/>
              <w:kinsoku/>
              <w:wordWrap/>
              <w:overflowPunct/>
              <w:topLinePunct w:val="0"/>
              <w:autoSpaceDE/>
              <w:autoSpaceDN/>
              <w:bidi w:val="0"/>
              <w:adjustRightInd/>
              <w:spacing w:line="300" w:lineRule="exact"/>
              <w:ind w:right="0"/>
              <w:jc w:val="center"/>
              <w:textAlignment w:val="auto"/>
              <w:rPr>
                <w:rFonts w:hint="eastAsia" w:asciiTheme="minorEastAsia" w:hAnsiTheme="minorEastAsia" w:eastAsiaTheme="minorEastAsia" w:cstheme="minorEastAsia"/>
                <w:b/>
                <w:bCs/>
                <w:spacing w:val="5"/>
                <w:w w:val="100"/>
                <w:sz w:val="21"/>
                <w:szCs w:val="21"/>
                <w:lang w:val="en-US" w:eastAsia="zh-CN"/>
              </w:rPr>
            </w:pPr>
            <w:r>
              <w:rPr>
                <w:rFonts w:hint="eastAsia" w:asciiTheme="minorEastAsia" w:hAnsiTheme="minorEastAsia" w:eastAsiaTheme="minorEastAsia" w:cstheme="minorEastAsia"/>
                <w:b/>
                <w:bCs/>
                <w:spacing w:val="5"/>
                <w:w w:val="100"/>
                <w:sz w:val="21"/>
                <w:szCs w:val="21"/>
                <w:lang w:val="en-US" w:eastAsia="zh-CN"/>
              </w:rPr>
              <w:t>内容要求</w:t>
            </w:r>
          </w:p>
        </w:tc>
        <w:tc>
          <w:tcPr>
            <w:tcW w:w="1770" w:type="dxa"/>
            <w:vAlign w:val="center"/>
          </w:tcPr>
          <w:p w14:paraId="7ECEBA26">
            <w:pPr>
              <w:pStyle w:val="3"/>
              <w:keepNext w:val="0"/>
              <w:keepLines w:val="0"/>
              <w:pageBreakBefore w:val="0"/>
              <w:widowControl w:val="0"/>
              <w:kinsoku/>
              <w:wordWrap/>
              <w:overflowPunct/>
              <w:topLinePunct w:val="0"/>
              <w:autoSpaceDE/>
              <w:autoSpaceDN/>
              <w:bidi w:val="0"/>
              <w:adjustRightInd/>
              <w:spacing w:line="300" w:lineRule="exact"/>
              <w:ind w:right="0"/>
              <w:jc w:val="center"/>
              <w:textAlignment w:val="auto"/>
              <w:rPr>
                <w:rFonts w:hint="eastAsia" w:asciiTheme="minorEastAsia" w:hAnsiTheme="minorEastAsia" w:eastAsiaTheme="minorEastAsia" w:cstheme="minorEastAsia"/>
                <w:b/>
                <w:bCs/>
                <w:spacing w:val="5"/>
                <w:w w:val="100"/>
                <w:sz w:val="21"/>
                <w:szCs w:val="21"/>
                <w:lang w:val="en-US" w:eastAsia="zh-CN"/>
              </w:rPr>
            </w:pPr>
            <w:r>
              <w:rPr>
                <w:rFonts w:hint="eastAsia" w:asciiTheme="minorEastAsia" w:hAnsiTheme="minorEastAsia" w:eastAsiaTheme="minorEastAsia" w:cstheme="minorEastAsia"/>
                <w:b/>
                <w:bCs/>
                <w:spacing w:val="5"/>
                <w:w w:val="100"/>
                <w:sz w:val="21"/>
                <w:szCs w:val="21"/>
                <w:lang w:val="en-US" w:eastAsia="zh-CN"/>
              </w:rPr>
              <w:t>制作要求</w:t>
            </w:r>
          </w:p>
        </w:tc>
        <w:tc>
          <w:tcPr>
            <w:tcW w:w="1144" w:type="dxa"/>
            <w:vAlign w:val="center"/>
          </w:tcPr>
          <w:p w14:paraId="31CC7C6A">
            <w:pPr>
              <w:pStyle w:val="3"/>
              <w:keepNext w:val="0"/>
              <w:keepLines w:val="0"/>
              <w:pageBreakBefore w:val="0"/>
              <w:widowControl w:val="0"/>
              <w:kinsoku/>
              <w:wordWrap/>
              <w:overflowPunct/>
              <w:topLinePunct w:val="0"/>
              <w:autoSpaceDE/>
              <w:autoSpaceDN/>
              <w:bidi w:val="0"/>
              <w:adjustRightInd/>
              <w:spacing w:line="300" w:lineRule="exact"/>
              <w:ind w:right="0"/>
              <w:jc w:val="center"/>
              <w:textAlignment w:val="auto"/>
              <w:rPr>
                <w:rFonts w:hint="eastAsia" w:asciiTheme="minorEastAsia" w:hAnsiTheme="minorEastAsia" w:eastAsiaTheme="minorEastAsia" w:cstheme="minorEastAsia"/>
                <w:b/>
                <w:bCs/>
                <w:spacing w:val="5"/>
                <w:w w:val="100"/>
                <w:sz w:val="21"/>
                <w:szCs w:val="21"/>
                <w:lang w:val="en-US" w:eastAsia="zh-CN"/>
              </w:rPr>
            </w:pPr>
            <w:r>
              <w:rPr>
                <w:rFonts w:hint="eastAsia" w:asciiTheme="minorEastAsia" w:hAnsiTheme="minorEastAsia" w:eastAsiaTheme="minorEastAsia" w:cstheme="minorEastAsia"/>
                <w:b/>
                <w:bCs/>
                <w:spacing w:val="5"/>
                <w:w w:val="100"/>
                <w:sz w:val="21"/>
                <w:szCs w:val="21"/>
                <w:lang w:val="en-US" w:eastAsia="zh-CN"/>
              </w:rPr>
              <w:t>发布平台要求</w:t>
            </w:r>
          </w:p>
        </w:tc>
        <w:tc>
          <w:tcPr>
            <w:tcW w:w="1095" w:type="dxa"/>
            <w:vAlign w:val="center"/>
          </w:tcPr>
          <w:p w14:paraId="12517784">
            <w:pPr>
              <w:pStyle w:val="3"/>
              <w:keepNext w:val="0"/>
              <w:keepLines w:val="0"/>
              <w:pageBreakBefore w:val="0"/>
              <w:widowControl w:val="0"/>
              <w:kinsoku/>
              <w:wordWrap/>
              <w:overflowPunct/>
              <w:topLinePunct w:val="0"/>
              <w:autoSpaceDE/>
              <w:autoSpaceDN/>
              <w:bidi w:val="0"/>
              <w:adjustRightInd/>
              <w:spacing w:line="300" w:lineRule="exact"/>
              <w:ind w:right="0"/>
              <w:jc w:val="center"/>
              <w:textAlignment w:val="auto"/>
              <w:rPr>
                <w:rFonts w:hint="eastAsia" w:asciiTheme="minorEastAsia" w:hAnsiTheme="minorEastAsia" w:eastAsiaTheme="minorEastAsia" w:cstheme="minorEastAsia"/>
                <w:b/>
                <w:bCs/>
                <w:spacing w:val="5"/>
                <w:w w:val="100"/>
                <w:sz w:val="21"/>
                <w:szCs w:val="21"/>
                <w:lang w:val="en-US" w:eastAsia="zh-CN"/>
              </w:rPr>
            </w:pPr>
            <w:r>
              <w:rPr>
                <w:rFonts w:hint="eastAsia" w:asciiTheme="minorEastAsia" w:hAnsiTheme="minorEastAsia" w:eastAsiaTheme="minorEastAsia" w:cstheme="minorEastAsia"/>
                <w:b/>
                <w:bCs/>
                <w:spacing w:val="5"/>
                <w:w w:val="100"/>
                <w:sz w:val="21"/>
                <w:szCs w:val="21"/>
                <w:lang w:val="en-US" w:eastAsia="zh-CN"/>
              </w:rPr>
              <w:t>预算</w:t>
            </w:r>
          </w:p>
          <w:p w14:paraId="17C02631">
            <w:pPr>
              <w:pStyle w:val="3"/>
              <w:keepNext w:val="0"/>
              <w:keepLines w:val="0"/>
              <w:pageBreakBefore w:val="0"/>
              <w:widowControl w:val="0"/>
              <w:kinsoku/>
              <w:wordWrap/>
              <w:overflowPunct/>
              <w:topLinePunct w:val="0"/>
              <w:autoSpaceDE/>
              <w:autoSpaceDN/>
              <w:bidi w:val="0"/>
              <w:adjustRightInd/>
              <w:spacing w:line="300" w:lineRule="exact"/>
              <w:ind w:right="0"/>
              <w:jc w:val="center"/>
              <w:textAlignment w:val="auto"/>
              <w:rPr>
                <w:rFonts w:hint="eastAsia" w:asciiTheme="minorEastAsia" w:hAnsiTheme="minorEastAsia" w:eastAsiaTheme="minorEastAsia" w:cstheme="minorEastAsia"/>
                <w:b/>
                <w:bCs/>
                <w:spacing w:val="5"/>
                <w:w w:val="100"/>
                <w:sz w:val="21"/>
                <w:szCs w:val="21"/>
                <w:lang w:val="en-US" w:eastAsia="zh-CN"/>
              </w:rPr>
            </w:pPr>
            <w:r>
              <w:rPr>
                <w:rFonts w:hint="eastAsia" w:asciiTheme="minorEastAsia" w:hAnsiTheme="minorEastAsia" w:eastAsiaTheme="minorEastAsia" w:cstheme="minorEastAsia"/>
                <w:b/>
                <w:bCs/>
                <w:spacing w:val="5"/>
                <w:w w:val="100"/>
                <w:sz w:val="21"/>
                <w:szCs w:val="21"/>
                <w:lang w:val="en-US" w:eastAsia="zh-CN"/>
              </w:rPr>
              <w:t>金额</w:t>
            </w:r>
          </w:p>
        </w:tc>
      </w:tr>
      <w:tr w14:paraId="127C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771" w:type="dxa"/>
            <w:vAlign w:val="center"/>
          </w:tcPr>
          <w:p w14:paraId="2B78010F">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heme="minorEastAsia" w:hAnsiTheme="minorEastAsia" w:eastAsiaTheme="minorEastAsia" w:cstheme="minorEastAsia"/>
                <w:b w:val="0"/>
                <w:bCs w:val="0"/>
                <w:spacing w:val="5"/>
                <w:w w:val="100"/>
                <w:kern w:val="2"/>
                <w:sz w:val="21"/>
                <w:szCs w:val="21"/>
                <w:lang w:val="en-US" w:eastAsia="zh-CN" w:bidi="ar-SA"/>
              </w:rPr>
            </w:pPr>
            <w:r>
              <w:rPr>
                <w:rFonts w:hint="eastAsia" w:asciiTheme="minorEastAsia" w:hAnsiTheme="minorEastAsia" w:eastAsiaTheme="minorEastAsia" w:cstheme="minorEastAsia"/>
                <w:b w:val="0"/>
                <w:bCs w:val="0"/>
                <w:spacing w:val="5"/>
                <w:w w:val="100"/>
                <w:kern w:val="2"/>
                <w:sz w:val="21"/>
                <w:szCs w:val="21"/>
                <w:lang w:val="en-US" w:eastAsia="zh-CN" w:bidi="ar-SA"/>
              </w:rPr>
              <w:t>红色故事报告</w:t>
            </w:r>
            <w:r>
              <w:rPr>
                <w:rFonts w:hint="eastAsia" w:asciiTheme="minorEastAsia" w:hAnsiTheme="minorEastAsia" w:cstheme="minorEastAsia"/>
                <w:b w:val="0"/>
                <w:bCs w:val="0"/>
                <w:spacing w:val="5"/>
                <w:w w:val="100"/>
                <w:kern w:val="2"/>
                <w:sz w:val="21"/>
                <w:szCs w:val="21"/>
                <w:lang w:val="en-US" w:eastAsia="zh-CN" w:bidi="ar-SA"/>
              </w:rPr>
              <w:t>科普</w:t>
            </w:r>
            <w:r>
              <w:rPr>
                <w:rFonts w:hint="eastAsia" w:asciiTheme="minorEastAsia" w:hAnsiTheme="minorEastAsia" w:eastAsiaTheme="minorEastAsia" w:cstheme="minorEastAsia"/>
                <w:b w:val="0"/>
                <w:bCs w:val="0"/>
                <w:spacing w:val="5"/>
                <w:w w:val="100"/>
                <w:kern w:val="2"/>
                <w:sz w:val="21"/>
                <w:szCs w:val="21"/>
                <w:lang w:val="en-US" w:eastAsia="zh-CN" w:bidi="ar-SA"/>
              </w:rPr>
              <w:t>视频1</w:t>
            </w:r>
          </w:p>
          <w:p w14:paraId="579684DB">
            <w:pPr>
              <w:pStyle w:val="3"/>
              <w:keepNext w:val="0"/>
              <w:keepLines w:val="0"/>
              <w:pageBreakBefore w:val="0"/>
              <w:widowControl w:val="0"/>
              <w:kinsoku/>
              <w:wordWrap/>
              <w:overflowPunct/>
              <w:topLinePunct w:val="0"/>
              <w:autoSpaceDE/>
              <w:autoSpaceDN/>
              <w:bidi w:val="0"/>
              <w:adjustRightInd/>
              <w:spacing w:line="300" w:lineRule="exact"/>
              <w:ind w:right="0"/>
              <w:jc w:val="both"/>
              <w:textAlignment w:val="auto"/>
              <w:rPr>
                <w:rFonts w:hint="eastAsia" w:asciiTheme="minorEastAsia" w:hAnsiTheme="minorEastAsia" w:eastAsiaTheme="minorEastAsia" w:cstheme="minorEastAsia"/>
                <w:b w:val="0"/>
                <w:bCs w:val="0"/>
                <w:spacing w:val="5"/>
                <w:w w:val="100"/>
                <w:sz w:val="21"/>
                <w:szCs w:val="21"/>
                <w:lang w:val="en-US" w:eastAsia="zh-CN"/>
              </w:rPr>
            </w:pPr>
          </w:p>
        </w:tc>
        <w:tc>
          <w:tcPr>
            <w:tcW w:w="1770" w:type="dxa"/>
            <w:vAlign w:val="center"/>
          </w:tcPr>
          <w:p w14:paraId="36BAD73C">
            <w:pPr>
              <w:pStyle w:val="3"/>
              <w:keepNext w:val="0"/>
              <w:keepLines w:val="0"/>
              <w:pageBreakBefore w:val="0"/>
              <w:widowControl w:val="0"/>
              <w:kinsoku/>
              <w:wordWrap/>
              <w:overflowPunct/>
              <w:topLinePunct w:val="0"/>
              <w:autoSpaceDE/>
              <w:autoSpaceDN/>
              <w:bidi w:val="0"/>
              <w:adjustRightInd/>
              <w:spacing w:line="300" w:lineRule="exact"/>
              <w:ind w:left="0" w:leftChars="0" w:right="0" w:firstLine="0" w:firstLineChars="0"/>
              <w:jc w:val="both"/>
              <w:textAlignment w:val="auto"/>
              <w:rPr>
                <w:rFonts w:hint="eastAsia" w:asciiTheme="minorEastAsia" w:hAnsiTheme="minorEastAsia" w:eastAsiaTheme="minorEastAsia" w:cstheme="minorEastAsia"/>
                <w:b w:val="0"/>
                <w:bCs w:val="0"/>
                <w:spacing w:val="5"/>
                <w:w w:val="100"/>
                <w:sz w:val="21"/>
                <w:szCs w:val="21"/>
                <w:lang w:val="en-US" w:eastAsia="zh-CN"/>
              </w:rPr>
            </w:pPr>
            <w:r>
              <w:rPr>
                <w:rFonts w:hint="eastAsia" w:asciiTheme="minorEastAsia" w:hAnsiTheme="minorEastAsia" w:eastAsiaTheme="minorEastAsia" w:cstheme="minorEastAsia"/>
                <w:b w:val="0"/>
                <w:bCs w:val="0"/>
                <w:spacing w:val="5"/>
                <w:w w:val="100"/>
                <w:sz w:val="21"/>
                <w:szCs w:val="21"/>
                <w:lang w:val="en-US" w:eastAsia="zh-CN"/>
              </w:rPr>
              <w:t>供应商须拥有高效成熟的制作团队，拥有撰稿、拍摄、编辑以及广播级配音等专业能力。摄制人员有创新性的艺术理念和策划意识，有正能量，能够满足教学视频的制作要求。摄制前和甲方沟通后，须制定详细的总体拍摄方案和分镜头文字脚本。</w:t>
            </w:r>
          </w:p>
        </w:tc>
        <w:tc>
          <w:tcPr>
            <w:tcW w:w="1770" w:type="dxa"/>
            <w:vAlign w:val="center"/>
          </w:tcPr>
          <w:p w14:paraId="5289C26B">
            <w:pPr>
              <w:pStyle w:val="3"/>
              <w:keepNext w:val="0"/>
              <w:keepLines w:val="0"/>
              <w:pageBreakBefore w:val="0"/>
              <w:widowControl w:val="0"/>
              <w:kinsoku/>
              <w:wordWrap/>
              <w:overflowPunct/>
              <w:topLinePunct w:val="0"/>
              <w:autoSpaceDE/>
              <w:autoSpaceDN/>
              <w:bidi w:val="0"/>
              <w:adjustRightInd/>
              <w:spacing w:line="300" w:lineRule="exact"/>
              <w:ind w:left="0" w:leftChars="0" w:right="0" w:firstLine="0" w:firstLineChars="0"/>
              <w:jc w:val="both"/>
              <w:textAlignment w:val="auto"/>
              <w:rPr>
                <w:rFonts w:hint="eastAsia" w:asciiTheme="minorEastAsia" w:hAnsiTheme="minorEastAsia" w:eastAsiaTheme="minorEastAsia" w:cstheme="minorEastAsia"/>
                <w:b w:val="0"/>
                <w:bCs w:val="0"/>
                <w:spacing w:val="5"/>
                <w:w w:val="100"/>
                <w:sz w:val="21"/>
                <w:szCs w:val="21"/>
                <w:lang w:val="en-US" w:eastAsia="zh-CN"/>
              </w:rPr>
            </w:pPr>
            <w:r>
              <w:rPr>
                <w:rFonts w:hint="eastAsia" w:asciiTheme="minorEastAsia" w:hAnsiTheme="minorEastAsia" w:eastAsiaTheme="minorEastAsia" w:cstheme="minorEastAsia"/>
                <w:b w:val="0"/>
                <w:bCs w:val="0"/>
                <w:spacing w:val="5"/>
                <w:w w:val="100"/>
                <w:sz w:val="21"/>
                <w:szCs w:val="21"/>
                <w:lang w:val="en-US" w:eastAsia="zh-CN"/>
              </w:rPr>
              <w:t>1.和甲方在课件策划编写、教学内容分析与组织，教学方法选择、教学过程构建、素材准备等进行充分沟通，制定详细的总体拍摄方案和分镜头教学文字脚本；2.制作人员分头搜集与视频制作相关的视频素材、图片及相关参考资料；3.创作小组同时开始项目包装、主题的创作构思。</w:t>
            </w:r>
          </w:p>
        </w:tc>
        <w:tc>
          <w:tcPr>
            <w:tcW w:w="1770" w:type="dxa"/>
            <w:vAlign w:val="center"/>
          </w:tcPr>
          <w:p w14:paraId="0A6EACE3">
            <w:pPr>
              <w:pStyle w:val="3"/>
              <w:keepNext w:val="0"/>
              <w:keepLines w:val="0"/>
              <w:pageBreakBefore w:val="0"/>
              <w:widowControl w:val="0"/>
              <w:kinsoku/>
              <w:wordWrap/>
              <w:overflowPunct/>
              <w:topLinePunct w:val="0"/>
              <w:autoSpaceDE/>
              <w:autoSpaceDN/>
              <w:bidi w:val="0"/>
              <w:adjustRightInd/>
              <w:spacing w:line="300" w:lineRule="exact"/>
              <w:ind w:left="0" w:leftChars="0" w:right="0" w:firstLine="0" w:firstLineChars="0"/>
              <w:jc w:val="both"/>
              <w:textAlignment w:val="auto"/>
              <w:rPr>
                <w:rFonts w:hint="eastAsia" w:asciiTheme="minorEastAsia" w:hAnsiTheme="minorEastAsia" w:eastAsiaTheme="minorEastAsia" w:cstheme="minorEastAsia"/>
                <w:b w:val="0"/>
                <w:bCs w:val="0"/>
                <w:spacing w:val="5"/>
                <w:w w:val="100"/>
                <w:sz w:val="21"/>
                <w:szCs w:val="21"/>
                <w:lang w:val="en-US" w:eastAsia="zh-CN"/>
              </w:rPr>
            </w:pPr>
            <w:r>
              <w:rPr>
                <w:rFonts w:hint="eastAsia" w:asciiTheme="minorEastAsia" w:hAnsiTheme="minorEastAsia" w:eastAsiaTheme="minorEastAsia" w:cstheme="minorEastAsia"/>
                <w:b w:val="0"/>
                <w:bCs w:val="0"/>
                <w:spacing w:val="5"/>
                <w:w w:val="100"/>
                <w:sz w:val="21"/>
                <w:szCs w:val="21"/>
                <w:lang w:val="en-US" w:eastAsia="zh-CN"/>
              </w:rPr>
              <w:t>1.全流程采用专业设备进行4K清晰度拍摄视频拍摄后，使用专业后期制作设备，根据内容制作片头，对视频素材进行剪辑、包装、调色，对同期声字幕进行制作和校对；2.成片画质参数必须达到3840*2160的视频参数，包括但不限于视频转换成超清、高清、标清、流媒体播放等各种格式，项目拍摄完成后，乙方将成品统一拷贝交给甲方。2.提供7x24小时响应服务，提供5年内不限次数免费修改服务，提供素材三年储存备份并按甲方需求随时提取服务；3.除正常视频拍摄外，应配备有化妆师2名及以上人数，提供参与拍摄学生统一着装条件且费用包含在统一报价内；4.视频时长要求5分钟以上10分钟以内。</w:t>
            </w:r>
          </w:p>
        </w:tc>
        <w:tc>
          <w:tcPr>
            <w:tcW w:w="1144" w:type="dxa"/>
            <w:vAlign w:val="center"/>
          </w:tcPr>
          <w:p w14:paraId="2333C0EB">
            <w:pPr>
              <w:pStyle w:val="3"/>
              <w:keepNext w:val="0"/>
              <w:keepLines w:val="0"/>
              <w:pageBreakBefore w:val="0"/>
              <w:widowControl w:val="0"/>
              <w:kinsoku/>
              <w:wordWrap/>
              <w:overflowPunct/>
              <w:topLinePunct w:val="0"/>
              <w:autoSpaceDE/>
              <w:autoSpaceDN/>
              <w:bidi w:val="0"/>
              <w:adjustRightInd/>
              <w:spacing w:line="300" w:lineRule="exact"/>
              <w:ind w:right="0"/>
              <w:jc w:val="both"/>
              <w:textAlignment w:val="auto"/>
              <w:rPr>
                <w:rFonts w:hint="eastAsia" w:asciiTheme="minorEastAsia" w:hAnsiTheme="minorEastAsia" w:eastAsiaTheme="minorEastAsia" w:cstheme="minorEastAsia"/>
                <w:b w:val="0"/>
                <w:bCs w:val="0"/>
                <w:spacing w:val="5"/>
                <w:w w:val="100"/>
                <w:sz w:val="21"/>
                <w:szCs w:val="21"/>
                <w:lang w:val="en-US" w:eastAsia="zh-CN"/>
              </w:rPr>
            </w:pPr>
            <w:r>
              <w:rPr>
                <w:rFonts w:hint="eastAsia" w:asciiTheme="minorEastAsia" w:hAnsiTheme="minorEastAsia" w:eastAsiaTheme="minorEastAsia" w:cstheme="minorEastAsia"/>
                <w:b w:val="0"/>
                <w:bCs w:val="0"/>
                <w:spacing w:val="5"/>
                <w:w w:val="100"/>
                <w:sz w:val="21"/>
                <w:szCs w:val="21"/>
                <w:lang w:val="en-US" w:eastAsia="zh-CN"/>
              </w:rPr>
              <w:t>省部级以上官方媒体</w:t>
            </w:r>
          </w:p>
        </w:tc>
        <w:tc>
          <w:tcPr>
            <w:tcW w:w="1095" w:type="dxa"/>
            <w:vAlign w:val="center"/>
          </w:tcPr>
          <w:p w14:paraId="4306E6F7">
            <w:pPr>
              <w:pStyle w:val="3"/>
              <w:keepNext w:val="0"/>
              <w:keepLines w:val="0"/>
              <w:pageBreakBefore w:val="0"/>
              <w:widowControl w:val="0"/>
              <w:kinsoku/>
              <w:wordWrap/>
              <w:overflowPunct/>
              <w:topLinePunct w:val="0"/>
              <w:autoSpaceDE/>
              <w:autoSpaceDN/>
              <w:bidi w:val="0"/>
              <w:adjustRightInd/>
              <w:spacing w:line="300" w:lineRule="exact"/>
              <w:ind w:right="0"/>
              <w:jc w:val="both"/>
              <w:textAlignment w:val="auto"/>
              <w:rPr>
                <w:rFonts w:hint="eastAsia" w:asciiTheme="minorEastAsia" w:hAnsiTheme="minorEastAsia" w:eastAsiaTheme="minorEastAsia" w:cstheme="minorEastAsia"/>
                <w:b w:val="0"/>
                <w:bCs w:val="0"/>
                <w:spacing w:val="5"/>
                <w:w w:val="100"/>
                <w:sz w:val="21"/>
                <w:szCs w:val="21"/>
                <w:lang w:val="en-US" w:eastAsia="zh-CN"/>
              </w:rPr>
            </w:pPr>
            <w:r>
              <w:rPr>
                <w:rFonts w:hint="eastAsia" w:asciiTheme="minorEastAsia" w:hAnsiTheme="minorEastAsia" w:eastAsiaTheme="minorEastAsia" w:cstheme="minorEastAsia"/>
                <w:b w:val="0"/>
                <w:bCs w:val="0"/>
                <w:spacing w:val="5"/>
                <w:w w:val="100"/>
                <w:sz w:val="21"/>
                <w:szCs w:val="21"/>
                <w:lang w:val="en-US" w:eastAsia="zh-CN"/>
              </w:rPr>
              <w:t>9000</w:t>
            </w:r>
          </w:p>
        </w:tc>
      </w:tr>
      <w:tr w14:paraId="62FE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1771" w:type="dxa"/>
            <w:vAlign w:val="center"/>
          </w:tcPr>
          <w:p w14:paraId="3E0488E4">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heme="minorEastAsia" w:hAnsiTheme="minorEastAsia" w:eastAsiaTheme="minorEastAsia" w:cstheme="minorEastAsia"/>
                <w:b w:val="0"/>
                <w:bCs w:val="0"/>
                <w:spacing w:val="5"/>
                <w:w w:val="100"/>
                <w:kern w:val="2"/>
                <w:sz w:val="21"/>
                <w:szCs w:val="21"/>
                <w:lang w:val="en-US" w:eastAsia="zh-CN" w:bidi="ar-SA"/>
              </w:rPr>
            </w:pPr>
            <w:r>
              <w:rPr>
                <w:rFonts w:hint="eastAsia" w:asciiTheme="minorEastAsia" w:hAnsiTheme="minorEastAsia" w:eastAsiaTheme="minorEastAsia" w:cstheme="minorEastAsia"/>
                <w:b w:val="0"/>
                <w:bCs w:val="0"/>
                <w:spacing w:val="5"/>
                <w:w w:val="100"/>
                <w:kern w:val="2"/>
                <w:sz w:val="21"/>
                <w:szCs w:val="21"/>
                <w:lang w:val="en-US" w:eastAsia="zh-CN" w:bidi="ar-SA"/>
              </w:rPr>
              <w:t>红色故事报告</w:t>
            </w:r>
            <w:r>
              <w:rPr>
                <w:rFonts w:hint="eastAsia" w:asciiTheme="minorEastAsia" w:hAnsiTheme="minorEastAsia" w:cstheme="minorEastAsia"/>
                <w:b w:val="0"/>
                <w:bCs w:val="0"/>
                <w:spacing w:val="5"/>
                <w:w w:val="100"/>
                <w:kern w:val="2"/>
                <w:sz w:val="21"/>
                <w:szCs w:val="21"/>
                <w:lang w:val="en-US" w:eastAsia="zh-CN" w:bidi="ar-SA"/>
              </w:rPr>
              <w:t>科普</w:t>
            </w:r>
            <w:r>
              <w:rPr>
                <w:rFonts w:hint="eastAsia" w:asciiTheme="minorEastAsia" w:hAnsiTheme="minorEastAsia" w:eastAsiaTheme="minorEastAsia" w:cstheme="minorEastAsia"/>
                <w:b w:val="0"/>
                <w:bCs w:val="0"/>
                <w:spacing w:val="5"/>
                <w:w w:val="100"/>
                <w:kern w:val="2"/>
                <w:sz w:val="21"/>
                <w:szCs w:val="21"/>
                <w:lang w:val="en-US" w:eastAsia="zh-CN" w:bidi="ar-SA"/>
              </w:rPr>
              <w:t>视频2</w:t>
            </w:r>
          </w:p>
          <w:p w14:paraId="69B31136">
            <w:pPr>
              <w:pStyle w:val="3"/>
              <w:keepNext w:val="0"/>
              <w:keepLines w:val="0"/>
              <w:pageBreakBefore w:val="0"/>
              <w:widowControl w:val="0"/>
              <w:kinsoku/>
              <w:wordWrap/>
              <w:overflowPunct/>
              <w:topLinePunct w:val="0"/>
              <w:autoSpaceDE/>
              <w:autoSpaceDN/>
              <w:bidi w:val="0"/>
              <w:adjustRightInd/>
              <w:spacing w:line="300" w:lineRule="exact"/>
              <w:ind w:right="0"/>
              <w:jc w:val="both"/>
              <w:textAlignment w:val="auto"/>
              <w:rPr>
                <w:rFonts w:hint="eastAsia" w:asciiTheme="minorEastAsia" w:hAnsiTheme="minorEastAsia" w:eastAsiaTheme="minorEastAsia" w:cstheme="minorEastAsia"/>
                <w:b w:val="0"/>
                <w:bCs w:val="0"/>
                <w:spacing w:val="5"/>
                <w:w w:val="100"/>
                <w:sz w:val="21"/>
                <w:szCs w:val="21"/>
                <w:lang w:val="en-US" w:eastAsia="zh-CN"/>
              </w:rPr>
            </w:pPr>
          </w:p>
        </w:tc>
        <w:tc>
          <w:tcPr>
            <w:tcW w:w="1770" w:type="dxa"/>
            <w:vAlign w:val="center"/>
          </w:tcPr>
          <w:p w14:paraId="547373C3">
            <w:pPr>
              <w:pStyle w:val="3"/>
              <w:keepNext w:val="0"/>
              <w:keepLines w:val="0"/>
              <w:pageBreakBefore w:val="0"/>
              <w:widowControl w:val="0"/>
              <w:kinsoku/>
              <w:wordWrap/>
              <w:overflowPunct/>
              <w:topLinePunct w:val="0"/>
              <w:autoSpaceDE/>
              <w:autoSpaceDN/>
              <w:bidi w:val="0"/>
              <w:adjustRightInd/>
              <w:spacing w:line="300" w:lineRule="exact"/>
              <w:ind w:left="0" w:leftChars="0" w:right="0" w:firstLine="0" w:firstLineChars="0"/>
              <w:jc w:val="both"/>
              <w:textAlignment w:val="auto"/>
              <w:rPr>
                <w:rFonts w:hint="eastAsia" w:asciiTheme="minorEastAsia" w:hAnsiTheme="minorEastAsia" w:eastAsiaTheme="minorEastAsia" w:cstheme="minorEastAsia"/>
                <w:b w:val="0"/>
                <w:bCs w:val="0"/>
                <w:spacing w:val="5"/>
                <w:w w:val="100"/>
                <w:sz w:val="21"/>
                <w:szCs w:val="21"/>
                <w:lang w:val="en-US" w:eastAsia="zh-CN"/>
              </w:rPr>
            </w:pPr>
            <w:r>
              <w:rPr>
                <w:rFonts w:hint="eastAsia" w:asciiTheme="minorEastAsia" w:hAnsiTheme="minorEastAsia" w:eastAsiaTheme="minorEastAsia" w:cstheme="minorEastAsia"/>
                <w:b w:val="0"/>
                <w:bCs w:val="0"/>
                <w:spacing w:val="5"/>
                <w:w w:val="100"/>
                <w:sz w:val="21"/>
                <w:szCs w:val="21"/>
                <w:lang w:val="en-US" w:eastAsia="zh-CN"/>
              </w:rPr>
              <w:t>供应商须拥有高效成熟的制作团队，拥有撰稿、拍摄、编辑以及广播级配音等专业能力。摄制人员有创新性的艺术理念和策划意识，有正能量，能够满足教学视频的制作要求。摄制前和甲方沟通后，须制定详细的总体拍摄方案和分镜头文字脚本。。</w:t>
            </w:r>
          </w:p>
        </w:tc>
        <w:tc>
          <w:tcPr>
            <w:tcW w:w="1770" w:type="dxa"/>
            <w:vAlign w:val="center"/>
          </w:tcPr>
          <w:p w14:paraId="769ABCB2">
            <w:pPr>
              <w:pStyle w:val="3"/>
              <w:keepNext w:val="0"/>
              <w:keepLines w:val="0"/>
              <w:pageBreakBefore w:val="0"/>
              <w:widowControl w:val="0"/>
              <w:kinsoku/>
              <w:wordWrap/>
              <w:overflowPunct/>
              <w:topLinePunct w:val="0"/>
              <w:autoSpaceDE/>
              <w:autoSpaceDN/>
              <w:bidi w:val="0"/>
              <w:adjustRightInd/>
              <w:spacing w:line="300" w:lineRule="exact"/>
              <w:ind w:right="0"/>
              <w:jc w:val="both"/>
              <w:textAlignment w:val="auto"/>
              <w:rPr>
                <w:rFonts w:hint="eastAsia" w:asciiTheme="minorEastAsia" w:hAnsiTheme="minorEastAsia" w:eastAsiaTheme="minorEastAsia" w:cstheme="minorEastAsia"/>
                <w:b w:val="0"/>
                <w:bCs w:val="0"/>
                <w:spacing w:val="5"/>
                <w:w w:val="100"/>
                <w:sz w:val="21"/>
                <w:szCs w:val="21"/>
                <w:lang w:val="en-US" w:eastAsia="zh-CN"/>
              </w:rPr>
            </w:pPr>
            <w:r>
              <w:rPr>
                <w:rFonts w:hint="eastAsia" w:asciiTheme="minorEastAsia" w:hAnsiTheme="minorEastAsia" w:eastAsiaTheme="minorEastAsia" w:cstheme="minorEastAsia"/>
                <w:b w:val="0"/>
                <w:bCs w:val="0"/>
                <w:spacing w:val="5"/>
                <w:w w:val="100"/>
                <w:sz w:val="21"/>
                <w:szCs w:val="21"/>
                <w:lang w:val="en-US" w:eastAsia="zh-CN"/>
              </w:rPr>
              <w:t>1.深入现场采风，了解其背景、精神和特色等，为视频内容策划提供详实资料；2.根据走访结果，结合项目要求，撰写教学视频策划初稿，明确视频主题、结构、亮点等。</w:t>
            </w:r>
          </w:p>
        </w:tc>
        <w:tc>
          <w:tcPr>
            <w:tcW w:w="1770" w:type="dxa"/>
            <w:vAlign w:val="center"/>
          </w:tcPr>
          <w:p w14:paraId="27891711">
            <w:pPr>
              <w:pStyle w:val="3"/>
              <w:keepNext w:val="0"/>
              <w:keepLines w:val="0"/>
              <w:pageBreakBefore w:val="0"/>
              <w:widowControl w:val="0"/>
              <w:kinsoku/>
              <w:wordWrap/>
              <w:overflowPunct/>
              <w:topLinePunct w:val="0"/>
              <w:autoSpaceDE/>
              <w:autoSpaceDN/>
              <w:bidi w:val="0"/>
              <w:adjustRightInd/>
              <w:spacing w:line="300" w:lineRule="exact"/>
              <w:ind w:right="0"/>
              <w:jc w:val="both"/>
              <w:textAlignment w:val="auto"/>
              <w:rPr>
                <w:rFonts w:hint="default" w:asciiTheme="minorEastAsia" w:hAnsiTheme="minorEastAsia" w:eastAsiaTheme="minorEastAsia" w:cstheme="minorEastAsia"/>
                <w:b w:val="0"/>
                <w:bCs w:val="0"/>
                <w:spacing w:val="5"/>
                <w:w w:val="100"/>
                <w:sz w:val="21"/>
                <w:szCs w:val="21"/>
                <w:lang w:val="en-US" w:eastAsia="zh-CN"/>
              </w:rPr>
            </w:pPr>
            <w:r>
              <w:rPr>
                <w:rFonts w:hint="eastAsia" w:asciiTheme="minorEastAsia" w:hAnsiTheme="minorEastAsia" w:eastAsiaTheme="minorEastAsia" w:cstheme="minorEastAsia"/>
                <w:b w:val="0"/>
                <w:bCs w:val="0"/>
                <w:spacing w:val="5"/>
                <w:w w:val="100"/>
                <w:sz w:val="21"/>
                <w:szCs w:val="21"/>
                <w:lang w:val="en-US" w:eastAsia="zh-CN"/>
              </w:rPr>
              <w:t>1.全流程采用专业设备进行4K清晰度拍摄视频拍摄后，使用专业后期制作设备，根据内容制作片头，对视频素材进行剪辑、包装、调色，对同期声字幕进行制作和校对；2.成片画质参数必须达到3840*2160的视频参数，包括但不限于视频转换成超清、高清、标清、流媒体播放等各种格式，项目拍摄完成后，乙方将成品统一拷贝交给甲方。2.提供7x24小时响应服务，提供5年内不限次数免费修改服务，提供素材三年储存备份并按甲方需求随时提取服务；3.除正常视频拍摄外，应配备有化妆师2名及以上人数，提供参与拍摄学生统一着装条件且费用包含在统一报价内；4.视频时长要求5分钟以上10分钟以内。</w:t>
            </w:r>
          </w:p>
        </w:tc>
        <w:tc>
          <w:tcPr>
            <w:tcW w:w="1144" w:type="dxa"/>
            <w:vAlign w:val="center"/>
          </w:tcPr>
          <w:p w14:paraId="1B335C71">
            <w:pPr>
              <w:pStyle w:val="3"/>
              <w:keepNext w:val="0"/>
              <w:keepLines w:val="0"/>
              <w:pageBreakBefore w:val="0"/>
              <w:widowControl w:val="0"/>
              <w:kinsoku/>
              <w:wordWrap/>
              <w:overflowPunct/>
              <w:topLinePunct w:val="0"/>
              <w:autoSpaceDE/>
              <w:autoSpaceDN/>
              <w:bidi w:val="0"/>
              <w:adjustRightInd/>
              <w:spacing w:line="300" w:lineRule="exact"/>
              <w:ind w:right="0"/>
              <w:jc w:val="both"/>
              <w:textAlignment w:val="auto"/>
              <w:rPr>
                <w:rFonts w:hint="eastAsia" w:asciiTheme="minorEastAsia" w:hAnsiTheme="minorEastAsia" w:eastAsiaTheme="minorEastAsia" w:cstheme="minorEastAsia"/>
                <w:b w:val="0"/>
                <w:bCs w:val="0"/>
                <w:spacing w:val="5"/>
                <w:w w:val="100"/>
                <w:sz w:val="21"/>
                <w:szCs w:val="21"/>
                <w:lang w:val="en-US" w:eastAsia="zh-CN"/>
              </w:rPr>
            </w:pPr>
            <w:r>
              <w:rPr>
                <w:rFonts w:hint="eastAsia" w:asciiTheme="minorEastAsia" w:hAnsiTheme="minorEastAsia" w:eastAsiaTheme="minorEastAsia" w:cstheme="minorEastAsia"/>
                <w:b w:val="0"/>
                <w:bCs w:val="0"/>
                <w:spacing w:val="5"/>
                <w:w w:val="100"/>
                <w:sz w:val="21"/>
                <w:szCs w:val="21"/>
                <w:lang w:val="en-US" w:eastAsia="zh-CN"/>
              </w:rPr>
              <w:t>省部级以上官方媒体</w:t>
            </w:r>
          </w:p>
        </w:tc>
        <w:tc>
          <w:tcPr>
            <w:tcW w:w="1095" w:type="dxa"/>
            <w:vAlign w:val="center"/>
          </w:tcPr>
          <w:p w14:paraId="73A946C5">
            <w:pPr>
              <w:pStyle w:val="3"/>
              <w:keepNext w:val="0"/>
              <w:keepLines w:val="0"/>
              <w:pageBreakBefore w:val="0"/>
              <w:widowControl w:val="0"/>
              <w:kinsoku/>
              <w:wordWrap/>
              <w:overflowPunct/>
              <w:topLinePunct w:val="0"/>
              <w:autoSpaceDE/>
              <w:autoSpaceDN/>
              <w:bidi w:val="0"/>
              <w:adjustRightInd/>
              <w:spacing w:line="300" w:lineRule="exact"/>
              <w:ind w:right="0"/>
              <w:jc w:val="both"/>
              <w:textAlignment w:val="auto"/>
              <w:rPr>
                <w:rFonts w:hint="eastAsia" w:asciiTheme="minorEastAsia" w:hAnsiTheme="minorEastAsia" w:eastAsiaTheme="minorEastAsia" w:cstheme="minorEastAsia"/>
                <w:b w:val="0"/>
                <w:bCs w:val="0"/>
                <w:spacing w:val="5"/>
                <w:w w:val="100"/>
                <w:sz w:val="21"/>
                <w:szCs w:val="21"/>
                <w:lang w:val="en-US" w:eastAsia="zh-CN"/>
              </w:rPr>
            </w:pPr>
            <w:r>
              <w:rPr>
                <w:rFonts w:hint="eastAsia" w:asciiTheme="minorEastAsia" w:hAnsiTheme="minorEastAsia" w:eastAsiaTheme="minorEastAsia" w:cstheme="minorEastAsia"/>
                <w:b w:val="0"/>
                <w:bCs w:val="0"/>
                <w:spacing w:val="5"/>
                <w:w w:val="100"/>
                <w:sz w:val="21"/>
                <w:szCs w:val="21"/>
                <w:lang w:val="en-US" w:eastAsia="zh-CN"/>
              </w:rPr>
              <w:t>10000</w:t>
            </w:r>
          </w:p>
        </w:tc>
      </w:tr>
      <w:tr w14:paraId="0B01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5" w:hRule="atLeast"/>
          <w:jc w:val="center"/>
        </w:trPr>
        <w:tc>
          <w:tcPr>
            <w:tcW w:w="1771" w:type="dxa"/>
            <w:vAlign w:val="center"/>
          </w:tcPr>
          <w:p w14:paraId="197B73B4">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heme="minorEastAsia" w:hAnsiTheme="minorEastAsia" w:eastAsiaTheme="minorEastAsia" w:cstheme="minorEastAsia"/>
                <w:b w:val="0"/>
                <w:bCs w:val="0"/>
                <w:spacing w:val="5"/>
                <w:w w:val="100"/>
                <w:kern w:val="2"/>
                <w:sz w:val="21"/>
                <w:szCs w:val="21"/>
                <w:lang w:val="en-US" w:eastAsia="zh-CN" w:bidi="ar-SA"/>
              </w:rPr>
            </w:pPr>
            <w:r>
              <w:rPr>
                <w:rFonts w:hint="eastAsia" w:asciiTheme="minorEastAsia" w:hAnsiTheme="minorEastAsia" w:eastAsiaTheme="minorEastAsia" w:cstheme="minorEastAsia"/>
                <w:b w:val="0"/>
                <w:bCs w:val="0"/>
                <w:spacing w:val="5"/>
                <w:w w:val="100"/>
                <w:kern w:val="2"/>
                <w:sz w:val="21"/>
                <w:szCs w:val="21"/>
                <w:lang w:val="en-US" w:eastAsia="zh-CN" w:bidi="ar-SA"/>
              </w:rPr>
              <w:t>红色故事报告</w:t>
            </w:r>
            <w:r>
              <w:rPr>
                <w:rFonts w:hint="eastAsia" w:asciiTheme="minorEastAsia" w:hAnsiTheme="minorEastAsia" w:cstheme="minorEastAsia"/>
                <w:b w:val="0"/>
                <w:bCs w:val="0"/>
                <w:spacing w:val="5"/>
                <w:w w:val="100"/>
                <w:kern w:val="2"/>
                <w:sz w:val="21"/>
                <w:szCs w:val="21"/>
                <w:lang w:val="en-US" w:eastAsia="zh-CN" w:bidi="ar-SA"/>
              </w:rPr>
              <w:t>科普</w:t>
            </w:r>
            <w:r>
              <w:rPr>
                <w:rFonts w:hint="eastAsia" w:asciiTheme="minorEastAsia" w:hAnsiTheme="minorEastAsia" w:eastAsiaTheme="minorEastAsia" w:cstheme="minorEastAsia"/>
                <w:b w:val="0"/>
                <w:bCs w:val="0"/>
                <w:spacing w:val="5"/>
                <w:w w:val="100"/>
                <w:kern w:val="2"/>
                <w:sz w:val="21"/>
                <w:szCs w:val="21"/>
                <w:lang w:val="en-US" w:eastAsia="zh-CN" w:bidi="ar-SA"/>
              </w:rPr>
              <w:t>视频3</w:t>
            </w:r>
          </w:p>
          <w:p w14:paraId="4F3D0038">
            <w:pPr>
              <w:pStyle w:val="3"/>
              <w:keepNext w:val="0"/>
              <w:keepLines w:val="0"/>
              <w:pageBreakBefore w:val="0"/>
              <w:widowControl w:val="0"/>
              <w:kinsoku/>
              <w:wordWrap/>
              <w:overflowPunct/>
              <w:topLinePunct w:val="0"/>
              <w:autoSpaceDE/>
              <w:autoSpaceDN/>
              <w:bidi w:val="0"/>
              <w:adjustRightInd/>
              <w:spacing w:line="300" w:lineRule="exact"/>
              <w:ind w:right="0"/>
              <w:jc w:val="both"/>
              <w:textAlignment w:val="auto"/>
              <w:rPr>
                <w:rFonts w:hint="eastAsia" w:asciiTheme="minorEastAsia" w:hAnsiTheme="minorEastAsia" w:eastAsiaTheme="minorEastAsia" w:cstheme="minorEastAsia"/>
                <w:b w:val="0"/>
                <w:bCs w:val="0"/>
                <w:spacing w:val="5"/>
                <w:w w:val="100"/>
                <w:sz w:val="21"/>
                <w:szCs w:val="21"/>
                <w:lang w:val="en-US" w:eastAsia="zh-CN"/>
              </w:rPr>
            </w:pPr>
          </w:p>
        </w:tc>
        <w:tc>
          <w:tcPr>
            <w:tcW w:w="1770" w:type="dxa"/>
            <w:vAlign w:val="center"/>
          </w:tcPr>
          <w:p w14:paraId="1C26A614">
            <w:pPr>
              <w:pStyle w:val="3"/>
              <w:keepNext w:val="0"/>
              <w:keepLines w:val="0"/>
              <w:pageBreakBefore w:val="0"/>
              <w:widowControl w:val="0"/>
              <w:kinsoku/>
              <w:wordWrap/>
              <w:overflowPunct/>
              <w:topLinePunct w:val="0"/>
              <w:autoSpaceDE/>
              <w:autoSpaceDN/>
              <w:bidi w:val="0"/>
              <w:adjustRightInd/>
              <w:spacing w:line="300" w:lineRule="exact"/>
              <w:ind w:right="0"/>
              <w:jc w:val="both"/>
              <w:textAlignment w:val="auto"/>
              <w:rPr>
                <w:rFonts w:hint="eastAsia" w:asciiTheme="minorEastAsia" w:hAnsiTheme="minorEastAsia" w:eastAsiaTheme="minorEastAsia" w:cstheme="minorEastAsia"/>
                <w:b w:val="0"/>
                <w:bCs w:val="0"/>
                <w:spacing w:val="5"/>
                <w:w w:val="100"/>
                <w:sz w:val="21"/>
                <w:szCs w:val="21"/>
                <w:lang w:val="en-US" w:eastAsia="zh-CN"/>
              </w:rPr>
            </w:pPr>
            <w:r>
              <w:rPr>
                <w:rFonts w:hint="eastAsia" w:asciiTheme="minorEastAsia" w:hAnsiTheme="minorEastAsia" w:eastAsiaTheme="minorEastAsia" w:cstheme="minorEastAsia"/>
                <w:b w:val="0"/>
                <w:bCs w:val="0"/>
                <w:spacing w:val="5"/>
                <w:w w:val="100"/>
                <w:sz w:val="21"/>
                <w:szCs w:val="21"/>
                <w:lang w:val="en-US" w:eastAsia="zh-CN"/>
              </w:rPr>
              <w:t>供应商须拥有高效成熟的制作团队，拥有撰稿、拍摄、编辑以及广播级配音等专业能力。摄制人员有创新性的艺术理念和策划意识，有正能量，能够满足教学视频的制作要求。摄制前和甲方沟通后，须制定详细的总体拍摄方案和分镜头文字脚本。</w:t>
            </w:r>
          </w:p>
        </w:tc>
        <w:tc>
          <w:tcPr>
            <w:tcW w:w="1770" w:type="dxa"/>
            <w:vAlign w:val="center"/>
          </w:tcPr>
          <w:p w14:paraId="5F480385">
            <w:pPr>
              <w:pStyle w:val="3"/>
              <w:keepNext w:val="0"/>
              <w:keepLines w:val="0"/>
              <w:pageBreakBefore w:val="0"/>
              <w:widowControl w:val="0"/>
              <w:kinsoku/>
              <w:wordWrap/>
              <w:overflowPunct/>
              <w:topLinePunct w:val="0"/>
              <w:autoSpaceDE/>
              <w:autoSpaceDN/>
              <w:bidi w:val="0"/>
              <w:adjustRightInd/>
              <w:spacing w:line="300" w:lineRule="exact"/>
              <w:ind w:right="0"/>
              <w:jc w:val="both"/>
              <w:textAlignment w:val="auto"/>
              <w:rPr>
                <w:rFonts w:hint="eastAsia" w:asciiTheme="minorEastAsia" w:hAnsiTheme="minorEastAsia" w:eastAsiaTheme="minorEastAsia" w:cstheme="minorEastAsia"/>
                <w:b w:val="0"/>
                <w:bCs w:val="0"/>
                <w:spacing w:val="5"/>
                <w:w w:val="100"/>
                <w:sz w:val="21"/>
                <w:szCs w:val="21"/>
                <w:lang w:val="en-US" w:eastAsia="zh-CN"/>
              </w:rPr>
            </w:pPr>
            <w:r>
              <w:rPr>
                <w:rFonts w:hint="eastAsia" w:asciiTheme="minorEastAsia" w:hAnsiTheme="minorEastAsia" w:eastAsiaTheme="minorEastAsia" w:cstheme="minorEastAsia"/>
                <w:b w:val="0"/>
                <w:bCs w:val="0"/>
                <w:spacing w:val="5"/>
                <w:w w:val="100"/>
                <w:sz w:val="21"/>
                <w:szCs w:val="21"/>
                <w:lang w:val="en-US" w:eastAsia="zh-CN"/>
              </w:rPr>
              <w:t>1.和甲方在课件策划编写、教学内容分析与组织，教学方法选择、教学过程构建、素材准备等进行充分沟通，制定详细的总体拍摄方案和分镜头教学文字脚本；2.制作人员分头搜集与视频制作相关的视频素材、图片及相关参考资料；3.创作小组同时开始项目包装、主题的创作构思。</w:t>
            </w:r>
          </w:p>
        </w:tc>
        <w:tc>
          <w:tcPr>
            <w:tcW w:w="1770" w:type="dxa"/>
            <w:vAlign w:val="center"/>
          </w:tcPr>
          <w:p w14:paraId="6CCFA381">
            <w:pPr>
              <w:pStyle w:val="3"/>
              <w:keepNext w:val="0"/>
              <w:keepLines w:val="0"/>
              <w:pageBreakBefore w:val="0"/>
              <w:widowControl w:val="0"/>
              <w:kinsoku/>
              <w:wordWrap/>
              <w:overflowPunct/>
              <w:topLinePunct w:val="0"/>
              <w:autoSpaceDE/>
              <w:autoSpaceDN/>
              <w:bidi w:val="0"/>
              <w:adjustRightInd/>
              <w:spacing w:line="300" w:lineRule="exact"/>
              <w:ind w:right="0"/>
              <w:jc w:val="both"/>
              <w:textAlignment w:val="auto"/>
              <w:rPr>
                <w:rFonts w:hint="eastAsia" w:asciiTheme="minorEastAsia" w:hAnsiTheme="minorEastAsia" w:eastAsiaTheme="minorEastAsia" w:cstheme="minorEastAsia"/>
                <w:b w:val="0"/>
                <w:bCs w:val="0"/>
                <w:spacing w:val="5"/>
                <w:w w:val="100"/>
                <w:sz w:val="21"/>
                <w:szCs w:val="21"/>
                <w:lang w:val="en-US" w:eastAsia="zh-CN"/>
              </w:rPr>
            </w:pPr>
            <w:r>
              <w:rPr>
                <w:rFonts w:hint="eastAsia" w:asciiTheme="minorEastAsia" w:hAnsiTheme="minorEastAsia" w:eastAsiaTheme="minorEastAsia" w:cstheme="minorEastAsia"/>
                <w:b w:val="0"/>
                <w:bCs w:val="0"/>
                <w:spacing w:val="5"/>
                <w:w w:val="100"/>
                <w:sz w:val="21"/>
                <w:szCs w:val="21"/>
                <w:lang w:val="en-US" w:eastAsia="zh-CN"/>
              </w:rPr>
              <w:t>1.全流程采用专业设备进行4K清晰度拍摄视频拍摄后，使用专业后期制作设备，根据内容制作片头，对视频素材进行剪辑、包装、调色，对同期声字幕进行制作和校对；2.成片画质参数必须达到3840*2160的视频参数，包括但不限于视频转换成超清、高清、标清、流媒体播放等各种格式，项目拍摄完成后，乙方将成品统一拷贝交给甲方。2.提供7x24小时响应服务，提供5年内不限次数免费修改服务，提供素材三年储存备份并按甲方需求随时提取服务；3.除正常视频拍摄外，应配备有化妆师2名及以上人数，提供参与拍摄学生统一着装条件且费用包含在统一报价内；4.视频时长要求5分钟以上10分钟以内。</w:t>
            </w:r>
          </w:p>
        </w:tc>
        <w:tc>
          <w:tcPr>
            <w:tcW w:w="1144" w:type="dxa"/>
            <w:vAlign w:val="center"/>
          </w:tcPr>
          <w:p w14:paraId="2BAB9F38">
            <w:pPr>
              <w:pStyle w:val="3"/>
              <w:keepNext w:val="0"/>
              <w:keepLines w:val="0"/>
              <w:pageBreakBefore w:val="0"/>
              <w:widowControl w:val="0"/>
              <w:kinsoku/>
              <w:wordWrap/>
              <w:overflowPunct/>
              <w:topLinePunct w:val="0"/>
              <w:autoSpaceDE/>
              <w:autoSpaceDN/>
              <w:bidi w:val="0"/>
              <w:adjustRightInd/>
              <w:spacing w:line="300" w:lineRule="exact"/>
              <w:ind w:right="0"/>
              <w:jc w:val="both"/>
              <w:textAlignment w:val="auto"/>
              <w:rPr>
                <w:rFonts w:hint="eastAsia" w:asciiTheme="minorEastAsia" w:hAnsiTheme="minorEastAsia" w:eastAsiaTheme="minorEastAsia" w:cstheme="minorEastAsia"/>
                <w:b w:val="0"/>
                <w:bCs w:val="0"/>
                <w:spacing w:val="5"/>
                <w:w w:val="100"/>
                <w:sz w:val="21"/>
                <w:szCs w:val="21"/>
                <w:lang w:val="en-US" w:eastAsia="zh-CN"/>
              </w:rPr>
            </w:pPr>
            <w:r>
              <w:rPr>
                <w:rFonts w:hint="eastAsia" w:asciiTheme="minorEastAsia" w:hAnsiTheme="minorEastAsia" w:eastAsiaTheme="minorEastAsia" w:cstheme="minorEastAsia"/>
                <w:b w:val="0"/>
                <w:bCs w:val="0"/>
                <w:spacing w:val="5"/>
                <w:w w:val="100"/>
                <w:sz w:val="21"/>
                <w:szCs w:val="21"/>
                <w:lang w:val="en-US" w:eastAsia="zh-CN"/>
              </w:rPr>
              <w:t>省部级以上官方媒体</w:t>
            </w:r>
          </w:p>
        </w:tc>
        <w:tc>
          <w:tcPr>
            <w:tcW w:w="1095" w:type="dxa"/>
            <w:vAlign w:val="center"/>
          </w:tcPr>
          <w:p w14:paraId="65A738ED">
            <w:pPr>
              <w:pStyle w:val="3"/>
              <w:keepNext w:val="0"/>
              <w:keepLines w:val="0"/>
              <w:pageBreakBefore w:val="0"/>
              <w:widowControl w:val="0"/>
              <w:kinsoku/>
              <w:wordWrap/>
              <w:overflowPunct/>
              <w:topLinePunct w:val="0"/>
              <w:autoSpaceDE/>
              <w:autoSpaceDN/>
              <w:bidi w:val="0"/>
              <w:adjustRightInd/>
              <w:spacing w:line="300" w:lineRule="exact"/>
              <w:ind w:right="0"/>
              <w:jc w:val="both"/>
              <w:textAlignment w:val="auto"/>
              <w:rPr>
                <w:rFonts w:hint="eastAsia" w:asciiTheme="minorEastAsia" w:hAnsiTheme="minorEastAsia" w:eastAsiaTheme="minorEastAsia" w:cstheme="minorEastAsia"/>
                <w:b w:val="0"/>
                <w:bCs w:val="0"/>
                <w:spacing w:val="5"/>
                <w:w w:val="100"/>
                <w:sz w:val="21"/>
                <w:szCs w:val="21"/>
                <w:lang w:val="en-US" w:eastAsia="zh-CN"/>
              </w:rPr>
            </w:pPr>
            <w:r>
              <w:rPr>
                <w:rFonts w:hint="eastAsia" w:asciiTheme="minorEastAsia" w:hAnsiTheme="minorEastAsia" w:eastAsiaTheme="minorEastAsia" w:cstheme="minorEastAsia"/>
                <w:b w:val="0"/>
                <w:bCs w:val="0"/>
                <w:spacing w:val="5"/>
                <w:w w:val="100"/>
                <w:sz w:val="21"/>
                <w:szCs w:val="21"/>
                <w:lang w:val="en-US" w:eastAsia="zh-CN"/>
              </w:rPr>
              <w:t>9000</w:t>
            </w:r>
          </w:p>
        </w:tc>
      </w:tr>
      <w:tr w14:paraId="45ED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03DD152B">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heme="minorEastAsia" w:hAnsiTheme="minorEastAsia" w:eastAsiaTheme="minorEastAsia" w:cstheme="minorEastAsia"/>
                <w:b w:val="0"/>
                <w:bCs w:val="0"/>
                <w:spacing w:val="5"/>
                <w:w w:val="100"/>
                <w:kern w:val="2"/>
                <w:sz w:val="21"/>
                <w:szCs w:val="21"/>
                <w:lang w:val="en-US" w:eastAsia="zh-CN" w:bidi="ar-SA"/>
              </w:rPr>
            </w:pPr>
            <w:r>
              <w:rPr>
                <w:rFonts w:hint="eastAsia" w:asciiTheme="minorEastAsia" w:hAnsiTheme="minorEastAsia" w:eastAsiaTheme="minorEastAsia" w:cstheme="minorEastAsia"/>
                <w:b w:val="0"/>
                <w:bCs w:val="0"/>
                <w:spacing w:val="5"/>
                <w:w w:val="100"/>
                <w:kern w:val="2"/>
                <w:sz w:val="21"/>
                <w:szCs w:val="21"/>
                <w:lang w:val="en-US" w:eastAsia="zh-CN" w:bidi="ar-SA"/>
              </w:rPr>
              <w:t>红色故事报告</w:t>
            </w:r>
            <w:r>
              <w:rPr>
                <w:rFonts w:hint="eastAsia" w:asciiTheme="minorEastAsia" w:hAnsiTheme="minorEastAsia" w:cstheme="minorEastAsia"/>
                <w:b w:val="0"/>
                <w:bCs w:val="0"/>
                <w:spacing w:val="5"/>
                <w:w w:val="100"/>
                <w:kern w:val="2"/>
                <w:sz w:val="21"/>
                <w:szCs w:val="21"/>
                <w:lang w:val="en-US" w:eastAsia="zh-CN" w:bidi="ar-SA"/>
              </w:rPr>
              <w:t>科普</w:t>
            </w:r>
            <w:r>
              <w:rPr>
                <w:rFonts w:hint="eastAsia" w:asciiTheme="minorEastAsia" w:hAnsiTheme="minorEastAsia" w:eastAsiaTheme="minorEastAsia" w:cstheme="minorEastAsia"/>
                <w:b w:val="0"/>
                <w:bCs w:val="0"/>
                <w:spacing w:val="5"/>
                <w:w w:val="100"/>
                <w:kern w:val="2"/>
                <w:sz w:val="21"/>
                <w:szCs w:val="21"/>
                <w:lang w:val="en-US" w:eastAsia="zh-CN" w:bidi="ar-SA"/>
              </w:rPr>
              <w:t>视频4</w:t>
            </w:r>
          </w:p>
          <w:p w14:paraId="27323506">
            <w:pPr>
              <w:pStyle w:val="3"/>
              <w:keepNext w:val="0"/>
              <w:keepLines w:val="0"/>
              <w:pageBreakBefore w:val="0"/>
              <w:widowControl w:val="0"/>
              <w:numPr>
                <w:ilvl w:val="0"/>
                <w:numId w:val="0"/>
              </w:numPr>
              <w:kinsoku/>
              <w:wordWrap/>
              <w:overflowPunct/>
              <w:topLinePunct w:val="0"/>
              <w:autoSpaceDE/>
              <w:autoSpaceDN/>
              <w:bidi w:val="0"/>
              <w:adjustRightInd/>
              <w:spacing w:line="300" w:lineRule="exact"/>
              <w:ind w:right="0" w:rightChars="0"/>
              <w:jc w:val="center"/>
              <w:textAlignment w:val="auto"/>
              <w:rPr>
                <w:rFonts w:hint="eastAsia" w:asciiTheme="minorEastAsia" w:hAnsiTheme="minorEastAsia" w:eastAsiaTheme="minorEastAsia" w:cstheme="minorEastAsia"/>
                <w:b w:val="0"/>
                <w:bCs w:val="0"/>
                <w:kern w:val="2"/>
                <w:sz w:val="21"/>
                <w:szCs w:val="21"/>
                <w:vertAlign w:val="baseline"/>
                <w:lang w:val="en-US" w:eastAsia="zh-CN" w:bidi="ar-SA"/>
              </w:rPr>
            </w:pPr>
          </w:p>
        </w:tc>
        <w:tc>
          <w:tcPr>
            <w:tcW w:w="1770" w:type="dxa"/>
            <w:vAlign w:val="center"/>
          </w:tcPr>
          <w:p w14:paraId="7D04F344">
            <w:pPr>
              <w:pStyle w:val="3"/>
              <w:keepNext w:val="0"/>
              <w:keepLines w:val="0"/>
              <w:pageBreakBefore w:val="0"/>
              <w:widowControl w:val="0"/>
              <w:numPr>
                <w:ilvl w:val="0"/>
                <w:numId w:val="0"/>
              </w:numPr>
              <w:kinsoku/>
              <w:wordWrap/>
              <w:overflowPunct/>
              <w:topLinePunct w:val="0"/>
              <w:autoSpaceDE/>
              <w:autoSpaceDN/>
              <w:bidi w:val="0"/>
              <w:adjustRightInd/>
              <w:spacing w:line="300" w:lineRule="exact"/>
              <w:ind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5"/>
                <w:w w:val="100"/>
                <w:sz w:val="21"/>
                <w:szCs w:val="21"/>
                <w:lang w:val="en-US" w:eastAsia="zh-CN"/>
              </w:rPr>
              <w:t>供应商须拥有高效成熟的制作团队，拥有撰稿、拍摄、编辑以及广播级配音等专业能力。摄制人员有创新性的艺术理念和策划意识，有正能量，能够满足教学视频的制作要求。摄制前和甲方沟通后，须制定详细的总体拍摄方案和分镜头文字脚本。</w:t>
            </w:r>
          </w:p>
        </w:tc>
        <w:tc>
          <w:tcPr>
            <w:tcW w:w="1770" w:type="dxa"/>
            <w:vAlign w:val="center"/>
          </w:tcPr>
          <w:p w14:paraId="7BA23147">
            <w:pPr>
              <w:pStyle w:val="3"/>
              <w:keepNext w:val="0"/>
              <w:keepLines w:val="0"/>
              <w:pageBreakBefore w:val="0"/>
              <w:widowControl w:val="0"/>
              <w:numPr>
                <w:ilvl w:val="0"/>
                <w:numId w:val="0"/>
              </w:numPr>
              <w:kinsoku/>
              <w:wordWrap/>
              <w:overflowPunct/>
              <w:topLinePunct w:val="0"/>
              <w:autoSpaceDE/>
              <w:autoSpaceDN/>
              <w:bidi w:val="0"/>
              <w:adjustRightInd/>
              <w:spacing w:line="300" w:lineRule="exact"/>
              <w:ind w:right="0" w:rightChars="0"/>
              <w:jc w:val="center"/>
              <w:textAlignment w:val="auto"/>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pacing w:val="5"/>
                <w:w w:val="100"/>
                <w:sz w:val="21"/>
                <w:szCs w:val="21"/>
                <w:lang w:val="en-US" w:eastAsia="zh-CN"/>
              </w:rPr>
              <w:t>1.深入现场采风，了解其背景、精神和特色等，为视频内容策划提供详实资料；2.根据走访结果，结合项目要求，撰写教学视频策划初稿，明确视频主题、结构、亮点等。</w:t>
            </w:r>
          </w:p>
        </w:tc>
        <w:tc>
          <w:tcPr>
            <w:tcW w:w="1770" w:type="dxa"/>
            <w:vAlign w:val="center"/>
          </w:tcPr>
          <w:p w14:paraId="7ACDA675">
            <w:pPr>
              <w:pStyle w:val="3"/>
              <w:keepNext w:val="0"/>
              <w:keepLines w:val="0"/>
              <w:pageBreakBefore w:val="0"/>
              <w:widowControl w:val="0"/>
              <w:numPr>
                <w:ilvl w:val="0"/>
                <w:numId w:val="0"/>
              </w:numPr>
              <w:kinsoku/>
              <w:wordWrap/>
              <w:overflowPunct/>
              <w:topLinePunct w:val="0"/>
              <w:autoSpaceDE/>
              <w:autoSpaceDN/>
              <w:bidi w:val="0"/>
              <w:adjustRightInd/>
              <w:spacing w:line="300" w:lineRule="exact"/>
              <w:ind w:right="0" w:rightChars="0"/>
              <w:jc w:val="center"/>
              <w:textAlignment w:val="auto"/>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pacing w:val="5"/>
                <w:w w:val="100"/>
                <w:sz w:val="21"/>
                <w:szCs w:val="21"/>
                <w:lang w:val="en-US" w:eastAsia="zh-CN"/>
              </w:rPr>
              <w:t>1.全流程采用专业设备进行4K清晰度拍摄视频拍摄后，使用专业后期制作设备，根据内容制作片头，对视频素材进行剪辑、包装、调色，对同期声字幕进行制作和校对；2.成片画质参数必须达到3840*2160的视频参数，包括但不限于视频转换成超清、高清、标清、流媒体播放等各种格式，项目拍摄完成后，乙方将成品统一拷贝交给甲方。2.提供7x24小时响应服务，提供5年内不限次数免费修改服务，提供素材三年储存备份并按甲方需求随时提取服务；3.除正常视频拍摄外，应配备有化妆师2名及以上人数，提供参与拍摄学生统一着装条件且费用包含在统一报价内；4.视频时长要求5分钟以上10分钟以内。</w:t>
            </w:r>
          </w:p>
        </w:tc>
        <w:tc>
          <w:tcPr>
            <w:tcW w:w="1144" w:type="dxa"/>
            <w:vAlign w:val="center"/>
          </w:tcPr>
          <w:p w14:paraId="3408E476">
            <w:pPr>
              <w:pStyle w:val="3"/>
              <w:keepNext w:val="0"/>
              <w:keepLines w:val="0"/>
              <w:pageBreakBefore w:val="0"/>
              <w:widowControl w:val="0"/>
              <w:numPr>
                <w:ilvl w:val="0"/>
                <w:numId w:val="0"/>
              </w:numPr>
              <w:kinsoku/>
              <w:wordWrap/>
              <w:overflowPunct/>
              <w:topLinePunct w:val="0"/>
              <w:autoSpaceDE/>
              <w:autoSpaceDN/>
              <w:bidi w:val="0"/>
              <w:adjustRightInd/>
              <w:spacing w:line="300" w:lineRule="exact"/>
              <w:ind w:right="0" w:rightChars="0"/>
              <w:jc w:val="center"/>
              <w:textAlignment w:val="auto"/>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pacing w:val="5"/>
                <w:w w:val="100"/>
                <w:sz w:val="21"/>
                <w:szCs w:val="21"/>
                <w:lang w:val="en-US" w:eastAsia="zh-CN"/>
              </w:rPr>
              <w:t>省部级以上官方媒体</w:t>
            </w:r>
          </w:p>
        </w:tc>
        <w:tc>
          <w:tcPr>
            <w:tcW w:w="1095" w:type="dxa"/>
            <w:vAlign w:val="center"/>
          </w:tcPr>
          <w:p w14:paraId="7A8B5A8B">
            <w:pPr>
              <w:pStyle w:val="3"/>
              <w:keepNext w:val="0"/>
              <w:keepLines w:val="0"/>
              <w:pageBreakBefore w:val="0"/>
              <w:widowControl w:val="0"/>
              <w:numPr>
                <w:ilvl w:val="0"/>
                <w:numId w:val="0"/>
              </w:numPr>
              <w:kinsoku/>
              <w:wordWrap/>
              <w:overflowPunct/>
              <w:topLinePunct w:val="0"/>
              <w:autoSpaceDE/>
              <w:autoSpaceDN/>
              <w:bidi w:val="0"/>
              <w:adjustRightInd/>
              <w:spacing w:line="300" w:lineRule="exact"/>
              <w:ind w:right="0" w:rightChars="0"/>
              <w:jc w:val="center"/>
              <w:textAlignment w:val="auto"/>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pacing w:val="5"/>
                <w:w w:val="100"/>
                <w:sz w:val="21"/>
                <w:szCs w:val="21"/>
                <w:lang w:val="en-US" w:eastAsia="zh-CN"/>
              </w:rPr>
              <w:t>10000</w:t>
            </w:r>
          </w:p>
        </w:tc>
      </w:tr>
    </w:tbl>
    <w:p w14:paraId="3D6C59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4202FE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010100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0D2E90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r>
        <w:rPr>
          <w:rFonts w:hint="eastAsia" w:ascii="宋体" w:hAnsi="宋体" w:eastAsia="宋体" w:cs="宋体"/>
          <w:b/>
          <w:bCs/>
          <w:color w:val="000000"/>
          <w:kern w:val="0"/>
          <w:sz w:val="28"/>
          <w:szCs w:val="28"/>
          <w:shd w:val="clear" w:fill="FFFFFF"/>
          <w:lang w:val="en-US" w:eastAsia="zh-CN" w:bidi="ar"/>
        </w:rPr>
        <w:t>附件 2：</w:t>
      </w:r>
    </w:p>
    <w:p w14:paraId="15629C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552104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center"/>
        <w:rPr>
          <w:rFonts w:hint="eastAsia" w:ascii="宋体" w:hAnsi="宋体" w:eastAsia="宋体" w:cs="宋体"/>
          <w:b/>
          <w:bCs/>
          <w:color w:val="000000"/>
          <w:kern w:val="0"/>
          <w:sz w:val="28"/>
          <w:szCs w:val="28"/>
          <w:shd w:val="clear" w:fill="FFFFFF"/>
          <w:lang w:val="en-US" w:eastAsia="zh-CN" w:bidi="ar"/>
        </w:rPr>
      </w:pPr>
      <w:r>
        <w:rPr>
          <w:rFonts w:hint="eastAsia" w:ascii="宋体" w:hAnsi="宋体" w:eastAsia="宋体" w:cs="宋体"/>
          <w:b/>
          <w:bCs/>
          <w:color w:val="000000"/>
          <w:kern w:val="0"/>
          <w:sz w:val="28"/>
          <w:szCs w:val="28"/>
          <w:shd w:val="clear" w:fill="FFFFFF"/>
          <w:lang w:val="en-US" w:eastAsia="zh-CN" w:bidi="ar"/>
        </w:rPr>
        <w:t>娄底职业技术学院</w:t>
      </w:r>
      <w:r>
        <w:rPr>
          <w:rFonts w:hint="eastAsia" w:cs="宋体"/>
          <w:b/>
          <w:bCs/>
          <w:color w:val="000000"/>
          <w:kern w:val="0"/>
          <w:sz w:val="28"/>
          <w:szCs w:val="28"/>
          <w:shd w:val="clear" w:fill="FFFFFF"/>
          <w:lang w:val="en-US" w:eastAsia="zh-CN" w:bidi="ar"/>
        </w:rPr>
        <w:t>制作并</w:t>
      </w:r>
      <w:r>
        <w:rPr>
          <w:rFonts w:hint="eastAsia" w:ascii="宋体" w:hAnsi="宋体" w:eastAsia="宋体" w:cs="宋体"/>
          <w:b/>
          <w:bCs/>
          <w:color w:val="000000"/>
          <w:kern w:val="0"/>
          <w:sz w:val="28"/>
          <w:szCs w:val="28"/>
          <w:shd w:val="clear" w:fill="FFFFFF"/>
          <w:lang w:val="en-US" w:eastAsia="zh-CN" w:bidi="ar"/>
        </w:rPr>
        <w:t>在省部级以上</w:t>
      </w:r>
      <w:r>
        <w:rPr>
          <w:rFonts w:hint="eastAsia" w:cs="宋体"/>
          <w:b/>
          <w:bCs/>
          <w:color w:val="000000"/>
          <w:kern w:val="0"/>
          <w:sz w:val="28"/>
          <w:szCs w:val="28"/>
          <w:shd w:val="clear" w:fill="FFFFFF"/>
          <w:lang w:val="en-US" w:eastAsia="zh-CN" w:bidi="ar"/>
        </w:rPr>
        <w:t>官方</w:t>
      </w:r>
      <w:r>
        <w:rPr>
          <w:rFonts w:hint="eastAsia" w:ascii="宋体" w:hAnsi="宋体" w:eastAsia="宋体" w:cs="宋体"/>
          <w:b/>
          <w:bCs/>
          <w:color w:val="000000"/>
          <w:kern w:val="0"/>
          <w:sz w:val="28"/>
          <w:szCs w:val="28"/>
          <w:shd w:val="clear" w:fill="FFFFFF"/>
          <w:lang w:val="en-US" w:eastAsia="zh-CN" w:bidi="ar"/>
        </w:rPr>
        <w:t>媒体发布4个以上具有自主知识产权的红色故事报告科普视频项目明细报价表</w:t>
      </w:r>
    </w:p>
    <w:tbl>
      <w:tblPr>
        <w:tblStyle w:val="7"/>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9"/>
        <w:gridCol w:w="593"/>
        <w:gridCol w:w="1361"/>
        <w:gridCol w:w="1362"/>
        <w:gridCol w:w="1351"/>
        <w:gridCol w:w="1351"/>
      </w:tblGrid>
      <w:tr w14:paraId="436D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719" w:type="dxa"/>
            <w:vAlign w:val="center"/>
          </w:tcPr>
          <w:p w14:paraId="002FB59D">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项目</w:t>
            </w:r>
          </w:p>
        </w:tc>
        <w:tc>
          <w:tcPr>
            <w:tcW w:w="593" w:type="dxa"/>
            <w:vAlign w:val="center"/>
          </w:tcPr>
          <w:p w14:paraId="17A71A65">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数量</w:t>
            </w:r>
          </w:p>
        </w:tc>
        <w:tc>
          <w:tcPr>
            <w:tcW w:w="1361" w:type="dxa"/>
            <w:vAlign w:val="center"/>
          </w:tcPr>
          <w:p w14:paraId="6FE64AFD">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单价控价（元）</w:t>
            </w:r>
          </w:p>
        </w:tc>
        <w:tc>
          <w:tcPr>
            <w:tcW w:w="1362" w:type="dxa"/>
            <w:vAlign w:val="center"/>
          </w:tcPr>
          <w:p w14:paraId="5FEE16C4">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总价控价（元）</w:t>
            </w:r>
          </w:p>
        </w:tc>
        <w:tc>
          <w:tcPr>
            <w:tcW w:w="1351" w:type="dxa"/>
            <w:vAlign w:val="center"/>
          </w:tcPr>
          <w:p w14:paraId="6F0508E0">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单价报价（元）</w:t>
            </w:r>
          </w:p>
        </w:tc>
        <w:tc>
          <w:tcPr>
            <w:tcW w:w="1351" w:type="dxa"/>
            <w:vAlign w:val="center"/>
          </w:tcPr>
          <w:p w14:paraId="5B5B3CE8">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总报合计（元）</w:t>
            </w:r>
          </w:p>
        </w:tc>
      </w:tr>
      <w:tr w14:paraId="1256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719" w:type="dxa"/>
            <w:vAlign w:val="center"/>
          </w:tcPr>
          <w:p w14:paraId="7A28FAC1">
            <w:pPr>
              <w:snapToGrid w:val="0"/>
              <w:spacing w:line="600" w:lineRule="exact"/>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pacing w:val="5"/>
                <w:w w:val="100"/>
                <w:kern w:val="2"/>
                <w:sz w:val="21"/>
                <w:szCs w:val="21"/>
                <w:lang w:val="en-US" w:eastAsia="zh-CN" w:bidi="ar-SA"/>
              </w:rPr>
              <w:t>红色故事报告</w:t>
            </w:r>
            <w:r>
              <w:rPr>
                <w:rFonts w:hint="eastAsia" w:asciiTheme="minorEastAsia" w:hAnsiTheme="minorEastAsia" w:cstheme="minorEastAsia"/>
                <w:b w:val="0"/>
                <w:bCs w:val="0"/>
                <w:spacing w:val="5"/>
                <w:w w:val="100"/>
                <w:kern w:val="2"/>
                <w:sz w:val="21"/>
                <w:szCs w:val="21"/>
                <w:lang w:val="en-US" w:eastAsia="zh-CN" w:bidi="ar-SA"/>
              </w:rPr>
              <w:t>科普</w:t>
            </w:r>
            <w:r>
              <w:rPr>
                <w:rFonts w:hint="eastAsia" w:asciiTheme="minorEastAsia" w:hAnsiTheme="minorEastAsia" w:eastAsiaTheme="minorEastAsia" w:cstheme="minorEastAsia"/>
                <w:b w:val="0"/>
                <w:bCs w:val="0"/>
                <w:spacing w:val="5"/>
                <w:w w:val="100"/>
                <w:kern w:val="2"/>
                <w:sz w:val="21"/>
                <w:szCs w:val="21"/>
                <w:lang w:val="en-US" w:eastAsia="zh-CN" w:bidi="ar-SA"/>
              </w:rPr>
              <w:t>视频1</w:t>
            </w:r>
          </w:p>
        </w:tc>
        <w:tc>
          <w:tcPr>
            <w:tcW w:w="593" w:type="dxa"/>
            <w:vAlign w:val="center"/>
          </w:tcPr>
          <w:p w14:paraId="33043D7E">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1</w:t>
            </w:r>
          </w:p>
        </w:tc>
        <w:tc>
          <w:tcPr>
            <w:tcW w:w="1361" w:type="dxa"/>
            <w:vAlign w:val="center"/>
          </w:tcPr>
          <w:p w14:paraId="538FCB17">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10000</w:t>
            </w:r>
          </w:p>
        </w:tc>
        <w:tc>
          <w:tcPr>
            <w:tcW w:w="1362" w:type="dxa"/>
            <w:vAlign w:val="center"/>
          </w:tcPr>
          <w:p w14:paraId="53AA3739">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10000</w:t>
            </w:r>
          </w:p>
        </w:tc>
        <w:tc>
          <w:tcPr>
            <w:tcW w:w="1351" w:type="dxa"/>
            <w:vAlign w:val="center"/>
          </w:tcPr>
          <w:p w14:paraId="506F4BCD">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p>
        </w:tc>
        <w:tc>
          <w:tcPr>
            <w:tcW w:w="1351" w:type="dxa"/>
            <w:vAlign w:val="center"/>
          </w:tcPr>
          <w:p w14:paraId="6D37DB6C">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p>
        </w:tc>
      </w:tr>
      <w:tr w14:paraId="43FA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719" w:type="dxa"/>
            <w:vAlign w:val="center"/>
          </w:tcPr>
          <w:p w14:paraId="7E9A4DA8">
            <w:pPr>
              <w:snapToGrid w:val="0"/>
              <w:spacing w:line="600" w:lineRule="exact"/>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pacing w:val="5"/>
                <w:w w:val="100"/>
                <w:kern w:val="2"/>
                <w:sz w:val="21"/>
                <w:szCs w:val="21"/>
                <w:lang w:val="en-US" w:eastAsia="zh-CN" w:bidi="ar-SA"/>
              </w:rPr>
              <w:t>红色故事报告</w:t>
            </w:r>
            <w:r>
              <w:rPr>
                <w:rFonts w:hint="eastAsia" w:asciiTheme="minorEastAsia" w:hAnsiTheme="minorEastAsia" w:cstheme="minorEastAsia"/>
                <w:b w:val="0"/>
                <w:bCs w:val="0"/>
                <w:spacing w:val="5"/>
                <w:w w:val="100"/>
                <w:kern w:val="2"/>
                <w:sz w:val="21"/>
                <w:szCs w:val="21"/>
                <w:lang w:val="en-US" w:eastAsia="zh-CN" w:bidi="ar-SA"/>
              </w:rPr>
              <w:t>科普</w:t>
            </w:r>
            <w:r>
              <w:rPr>
                <w:rFonts w:hint="eastAsia" w:asciiTheme="minorEastAsia" w:hAnsiTheme="minorEastAsia" w:eastAsiaTheme="minorEastAsia" w:cstheme="minorEastAsia"/>
                <w:b w:val="0"/>
                <w:bCs w:val="0"/>
                <w:spacing w:val="5"/>
                <w:w w:val="100"/>
                <w:kern w:val="2"/>
                <w:sz w:val="21"/>
                <w:szCs w:val="21"/>
                <w:lang w:val="en-US" w:eastAsia="zh-CN" w:bidi="ar-SA"/>
              </w:rPr>
              <w:t>视频2</w:t>
            </w:r>
          </w:p>
        </w:tc>
        <w:tc>
          <w:tcPr>
            <w:tcW w:w="593" w:type="dxa"/>
            <w:vAlign w:val="center"/>
          </w:tcPr>
          <w:p w14:paraId="6F8563D1">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1</w:t>
            </w:r>
          </w:p>
        </w:tc>
        <w:tc>
          <w:tcPr>
            <w:tcW w:w="1361" w:type="dxa"/>
            <w:vAlign w:val="center"/>
          </w:tcPr>
          <w:p w14:paraId="6D155910">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9000</w:t>
            </w:r>
          </w:p>
        </w:tc>
        <w:tc>
          <w:tcPr>
            <w:tcW w:w="1362" w:type="dxa"/>
            <w:vAlign w:val="center"/>
          </w:tcPr>
          <w:p w14:paraId="146397A0">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9000</w:t>
            </w:r>
          </w:p>
        </w:tc>
        <w:tc>
          <w:tcPr>
            <w:tcW w:w="1351" w:type="dxa"/>
            <w:vAlign w:val="center"/>
          </w:tcPr>
          <w:p w14:paraId="34155E93">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p>
        </w:tc>
        <w:tc>
          <w:tcPr>
            <w:tcW w:w="1351" w:type="dxa"/>
            <w:vAlign w:val="center"/>
          </w:tcPr>
          <w:p w14:paraId="5FBF5D19">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p>
        </w:tc>
      </w:tr>
      <w:tr w14:paraId="37A1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719" w:type="dxa"/>
            <w:vAlign w:val="center"/>
          </w:tcPr>
          <w:p w14:paraId="194ED0F1">
            <w:pPr>
              <w:snapToGrid w:val="0"/>
              <w:spacing w:line="600" w:lineRule="exact"/>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pacing w:val="5"/>
                <w:w w:val="100"/>
                <w:kern w:val="2"/>
                <w:sz w:val="21"/>
                <w:szCs w:val="21"/>
                <w:lang w:val="en-US" w:eastAsia="zh-CN" w:bidi="ar-SA"/>
              </w:rPr>
              <w:t>红色故事报告</w:t>
            </w:r>
            <w:r>
              <w:rPr>
                <w:rFonts w:hint="eastAsia" w:asciiTheme="minorEastAsia" w:hAnsiTheme="minorEastAsia" w:cstheme="minorEastAsia"/>
                <w:b w:val="0"/>
                <w:bCs w:val="0"/>
                <w:spacing w:val="5"/>
                <w:w w:val="100"/>
                <w:kern w:val="2"/>
                <w:sz w:val="21"/>
                <w:szCs w:val="21"/>
                <w:lang w:val="en-US" w:eastAsia="zh-CN" w:bidi="ar-SA"/>
              </w:rPr>
              <w:t>科普</w:t>
            </w:r>
            <w:r>
              <w:rPr>
                <w:rFonts w:hint="eastAsia" w:asciiTheme="minorEastAsia" w:hAnsiTheme="minorEastAsia" w:eastAsiaTheme="minorEastAsia" w:cstheme="minorEastAsia"/>
                <w:b w:val="0"/>
                <w:bCs w:val="0"/>
                <w:spacing w:val="5"/>
                <w:w w:val="100"/>
                <w:kern w:val="2"/>
                <w:sz w:val="21"/>
                <w:szCs w:val="21"/>
                <w:lang w:val="en-US" w:eastAsia="zh-CN" w:bidi="ar-SA"/>
              </w:rPr>
              <w:t>视频3</w:t>
            </w:r>
          </w:p>
        </w:tc>
        <w:tc>
          <w:tcPr>
            <w:tcW w:w="593" w:type="dxa"/>
            <w:vAlign w:val="center"/>
          </w:tcPr>
          <w:p w14:paraId="212D2AE5">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1</w:t>
            </w:r>
          </w:p>
        </w:tc>
        <w:tc>
          <w:tcPr>
            <w:tcW w:w="1361" w:type="dxa"/>
            <w:vAlign w:val="center"/>
          </w:tcPr>
          <w:p w14:paraId="522175B9">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10000</w:t>
            </w:r>
          </w:p>
        </w:tc>
        <w:tc>
          <w:tcPr>
            <w:tcW w:w="1362" w:type="dxa"/>
            <w:vAlign w:val="center"/>
          </w:tcPr>
          <w:p w14:paraId="5DCB4026">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10000</w:t>
            </w:r>
          </w:p>
        </w:tc>
        <w:tc>
          <w:tcPr>
            <w:tcW w:w="1351" w:type="dxa"/>
            <w:vAlign w:val="center"/>
          </w:tcPr>
          <w:p w14:paraId="70140738">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p>
        </w:tc>
        <w:tc>
          <w:tcPr>
            <w:tcW w:w="1351" w:type="dxa"/>
            <w:vAlign w:val="center"/>
          </w:tcPr>
          <w:p w14:paraId="59A3C4EE">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p>
        </w:tc>
      </w:tr>
      <w:tr w14:paraId="4B32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719" w:type="dxa"/>
            <w:vAlign w:val="center"/>
          </w:tcPr>
          <w:p w14:paraId="1EFD14D2">
            <w:pPr>
              <w:snapToGrid w:val="0"/>
              <w:spacing w:line="600" w:lineRule="exact"/>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pacing w:val="5"/>
                <w:w w:val="100"/>
                <w:kern w:val="2"/>
                <w:sz w:val="21"/>
                <w:szCs w:val="21"/>
                <w:lang w:val="en-US" w:eastAsia="zh-CN" w:bidi="ar-SA"/>
              </w:rPr>
              <w:t>红色故事报告</w:t>
            </w:r>
            <w:r>
              <w:rPr>
                <w:rFonts w:hint="eastAsia" w:asciiTheme="minorEastAsia" w:hAnsiTheme="minorEastAsia" w:cstheme="minorEastAsia"/>
                <w:b w:val="0"/>
                <w:bCs w:val="0"/>
                <w:spacing w:val="5"/>
                <w:w w:val="100"/>
                <w:kern w:val="2"/>
                <w:sz w:val="21"/>
                <w:szCs w:val="21"/>
                <w:lang w:val="en-US" w:eastAsia="zh-CN" w:bidi="ar-SA"/>
              </w:rPr>
              <w:t>科普</w:t>
            </w:r>
            <w:r>
              <w:rPr>
                <w:rFonts w:hint="eastAsia" w:asciiTheme="minorEastAsia" w:hAnsiTheme="minorEastAsia" w:eastAsiaTheme="minorEastAsia" w:cstheme="minorEastAsia"/>
                <w:b w:val="0"/>
                <w:bCs w:val="0"/>
                <w:spacing w:val="5"/>
                <w:w w:val="100"/>
                <w:kern w:val="2"/>
                <w:sz w:val="21"/>
                <w:szCs w:val="21"/>
                <w:lang w:val="en-US" w:eastAsia="zh-CN" w:bidi="ar-SA"/>
              </w:rPr>
              <w:t>视频4</w:t>
            </w:r>
          </w:p>
        </w:tc>
        <w:tc>
          <w:tcPr>
            <w:tcW w:w="593" w:type="dxa"/>
            <w:vAlign w:val="center"/>
          </w:tcPr>
          <w:p w14:paraId="737C0CE0">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1</w:t>
            </w:r>
          </w:p>
        </w:tc>
        <w:tc>
          <w:tcPr>
            <w:tcW w:w="1361" w:type="dxa"/>
            <w:vAlign w:val="center"/>
          </w:tcPr>
          <w:p w14:paraId="50AF404B">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9000</w:t>
            </w:r>
          </w:p>
        </w:tc>
        <w:tc>
          <w:tcPr>
            <w:tcW w:w="1362" w:type="dxa"/>
            <w:vAlign w:val="center"/>
          </w:tcPr>
          <w:p w14:paraId="2F1DCA8E">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kern w:val="2"/>
                <w:sz w:val="21"/>
                <w:szCs w:val="21"/>
                <w:vertAlign w:val="baseline"/>
                <w:lang w:val="en-US" w:eastAsia="zh-CN" w:bidi="ar-SA"/>
              </w:rPr>
              <w:t>9000</w:t>
            </w:r>
          </w:p>
        </w:tc>
        <w:tc>
          <w:tcPr>
            <w:tcW w:w="1351" w:type="dxa"/>
            <w:vAlign w:val="center"/>
          </w:tcPr>
          <w:p w14:paraId="55B918B3">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p>
        </w:tc>
        <w:tc>
          <w:tcPr>
            <w:tcW w:w="1351" w:type="dxa"/>
            <w:vAlign w:val="center"/>
          </w:tcPr>
          <w:p w14:paraId="29B1358D">
            <w:pPr>
              <w:pStyle w:val="3"/>
              <w:numPr>
                <w:ilvl w:val="0"/>
                <w:numId w:val="0"/>
              </w:numPr>
              <w:spacing w:before="29"/>
              <w:ind w:right="0" w:rightChars="0"/>
              <w:jc w:val="center"/>
              <w:rPr>
                <w:rFonts w:hint="eastAsia" w:asciiTheme="minorEastAsia" w:hAnsiTheme="minorEastAsia" w:eastAsiaTheme="minorEastAsia" w:cstheme="minorEastAsia"/>
                <w:b w:val="0"/>
                <w:bCs w:val="0"/>
                <w:kern w:val="2"/>
                <w:sz w:val="21"/>
                <w:szCs w:val="21"/>
                <w:vertAlign w:val="baseline"/>
                <w:lang w:val="en-US" w:eastAsia="zh-CN" w:bidi="ar-SA"/>
              </w:rPr>
            </w:pPr>
          </w:p>
        </w:tc>
      </w:tr>
    </w:tbl>
    <w:p w14:paraId="3A3033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667007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770887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1B5C69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2C7D03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1510F9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12C7D0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6F1FA4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7B1BAC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388D73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631DBD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26952C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kern w:val="0"/>
          <w:sz w:val="24"/>
          <w:szCs w:val="24"/>
          <w:shd w:val="clear" w:fill="FFFFFF"/>
        </w:rPr>
      </w:pPr>
      <w:bookmarkStart w:id="0" w:name="_GoBack"/>
      <w:bookmarkEnd w:id="0"/>
      <w:r>
        <w:rPr>
          <w:rFonts w:hint="eastAsia" w:ascii="宋体" w:hAnsi="宋体" w:eastAsia="宋体" w:cs="宋体"/>
          <w:b/>
          <w:bCs/>
          <w:color w:val="000000"/>
          <w:kern w:val="0"/>
          <w:sz w:val="28"/>
          <w:szCs w:val="28"/>
          <w:shd w:val="clear" w:fill="FFFFFF"/>
          <w:lang w:val="en-US" w:eastAsia="zh-CN" w:bidi="ar"/>
        </w:rPr>
        <w:t>附件3：</w:t>
      </w:r>
    </w:p>
    <w:p w14:paraId="3E6869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center"/>
        <w:rPr>
          <w:rFonts w:hint="eastAsia" w:ascii="宋体" w:hAnsi="宋体" w:eastAsia="宋体" w:cs="宋体"/>
          <w:b/>
          <w:bCs/>
          <w:kern w:val="0"/>
          <w:sz w:val="30"/>
          <w:szCs w:val="30"/>
          <w:shd w:val="clear" w:fill="FFFFFF"/>
        </w:rPr>
      </w:pPr>
      <w:r>
        <w:rPr>
          <w:rFonts w:hint="eastAsia" w:ascii="宋体" w:hAnsi="宋体" w:eastAsia="宋体" w:cs="宋体"/>
          <w:b/>
          <w:bCs/>
          <w:kern w:val="0"/>
          <w:sz w:val="30"/>
          <w:szCs w:val="30"/>
          <w:shd w:val="clear" w:fill="FFFFFF"/>
          <w:lang w:val="en-US" w:eastAsia="zh-CN" w:bidi="ar"/>
        </w:rPr>
        <w:t>湖南省政府采购供应商资格承诺函</w:t>
      </w:r>
    </w:p>
    <w:p w14:paraId="2BC9B3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60" w:firstLineChars="200"/>
        <w:jc w:val="both"/>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78C8C4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60" w:firstLineChars="200"/>
        <w:jc w:val="both"/>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按照《政府采购促进中小企业发展管理办法》(财库〔2020〕46号)，本公司企业规模为:大型□中型□小型□微型□</w:t>
      </w:r>
    </w:p>
    <w:p w14:paraId="245115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60" w:firstLineChars="200"/>
        <w:jc w:val="both"/>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□本公司自愿入驻湖南省政府采购电子卖场，遵守《湖南省政府采购电子卖场管理办法》(湘财购〔2019〕27 号)，如违反承诺，同意金融机构将增信保证划缴国库(非电子卖场采购活动项目不需勾选)。</w:t>
      </w:r>
    </w:p>
    <w:p w14:paraId="52C334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60" w:firstLineChars="200"/>
        <w:jc w:val="right"/>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 xml:space="preserve">                          公司(单位)名称(盖章)</w:t>
      </w:r>
    </w:p>
    <w:p w14:paraId="2AE490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320" w:firstLineChars="1900"/>
        <w:jc w:val="both"/>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______年____月____日</w:t>
      </w:r>
    </w:p>
    <w:p w14:paraId="2FBBF4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 xml:space="preserve"> </w:t>
      </w:r>
    </w:p>
    <w:p w14:paraId="553599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 xml:space="preserve">机构代码：                          注册登记机构：           </w:t>
      </w:r>
    </w:p>
    <w:p w14:paraId="079581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 xml:space="preserve">日期：                              有效期：         </w:t>
      </w:r>
    </w:p>
    <w:p w14:paraId="5B80E3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注册资本：                          地址：                          经济行业：                          经济性质：</w:t>
      </w:r>
    </w:p>
    <w:p w14:paraId="4863AD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法定代表人(负责人)姓名(签字)          授权代表人姓名(签字)：</w:t>
      </w:r>
    </w:p>
    <w:p w14:paraId="10B8F8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rPr>
          <w:rFonts w:hint="default" w:ascii="Times New Roman" w:hAnsi="Times New Roman" w:eastAsia="宋体" w:cs="Times New Roman"/>
          <w:kern w:val="0"/>
          <w:sz w:val="24"/>
          <w:szCs w:val="24"/>
          <w:shd w:val="clear" w:fill="FFFFFF"/>
        </w:rPr>
      </w:pPr>
      <w:r>
        <w:rPr>
          <w:rFonts w:hint="eastAsia" w:ascii="宋体" w:hAnsi="宋体" w:eastAsia="宋体" w:cs="宋体"/>
          <w:kern w:val="0"/>
          <w:sz w:val="28"/>
          <w:szCs w:val="28"/>
          <w:shd w:val="clear" w:fill="FFFFFF"/>
          <w:lang w:val="en-US" w:eastAsia="zh-CN" w:bidi="ar"/>
        </w:rPr>
        <w:t>身份证号：                            身份证号：</w:t>
      </w:r>
    </w:p>
    <w:p w14:paraId="1740CE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rPr>
          <w:rFonts w:hint="eastAsia" w:ascii="仿宋" w:hAnsi="仿宋" w:eastAsia="仿宋" w:cs="仿宋"/>
          <w:b w:val="0"/>
          <w:bCs w:val="0"/>
          <w:spacing w:val="0"/>
          <w:w w:val="100"/>
          <w:sz w:val="32"/>
          <w:szCs w:val="32"/>
        </w:rPr>
      </w:pPr>
      <w:r>
        <w:rPr>
          <w:rFonts w:hint="eastAsia" w:ascii="宋体" w:hAnsi="宋体" w:eastAsia="宋体" w:cs="宋体"/>
          <w:kern w:val="0"/>
          <w:sz w:val="28"/>
          <w:szCs w:val="28"/>
          <w:shd w:val="clear" w:fill="FFFFFF"/>
          <w:lang w:val="en-US" w:eastAsia="zh-CN" w:bidi="ar"/>
        </w:rPr>
        <w:t>手机号:                               手机号: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60D04"/>
    <w:multiLevelType w:val="singleLevel"/>
    <w:tmpl w:val="9F960D04"/>
    <w:lvl w:ilvl="0" w:tentative="0">
      <w:start w:val="1"/>
      <w:numFmt w:val="chineseCounting"/>
      <w:suff w:val="nothing"/>
      <w:lvlText w:val="%1、"/>
      <w:lvlJc w:val="left"/>
      <w:rPr>
        <w:rFonts w:hint="eastAsia"/>
      </w:rPr>
    </w:lvl>
  </w:abstractNum>
  <w:abstractNum w:abstractNumId="1">
    <w:nsid w:val="40823E3E"/>
    <w:multiLevelType w:val="singleLevel"/>
    <w:tmpl w:val="40823E3E"/>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F153C"/>
    <w:rsid w:val="00637AD2"/>
    <w:rsid w:val="03D75B73"/>
    <w:rsid w:val="07AE2415"/>
    <w:rsid w:val="07FD7952"/>
    <w:rsid w:val="082F153C"/>
    <w:rsid w:val="0B924E76"/>
    <w:rsid w:val="0C292C14"/>
    <w:rsid w:val="17C01400"/>
    <w:rsid w:val="23CF3667"/>
    <w:rsid w:val="26440D44"/>
    <w:rsid w:val="29477EE1"/>
    <w:rsid w:val="2E690493"/>
    <w:rsid w:val="2F9D62C6"/>
    <w:rsid w:val="31F72B80"/>
    <w:rsid w:val="3684230E"/>
    <w:rsid w:val="3A802587"/>
    <w:rsid w:val="3C4910C0"/>
    <w:rsid w:val="44EE2D42"/>
    <w:rsid w:val="4D6935E3"/>
    <w:rsid w:val="4ED84159"/>
    <w:rsid w:val="50447851"/>
    <w:rsid w:val="55E15C72"/>
    <w:rsid w:val="5963709F"/>
    <w:rsid w:val="5BAC4ED3"/>
    <w:rsid w:val="5DA537E8"/>
    <w:rsid w:val="5DE96053"/>
    <w:rsid w:val="5EA849F1"/>
    <w:rsid w:val="62B44AFC"/>
    <w:rsid w:val="66F42721"/>
    <w:rsid w:val="67F4735F"/>
    <w:rsid w:val="70F16404"/>
    <w:rsid w:val="756F513B"/>
    <w:rsid w:val="7B322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16"/>
    </w:pPr>
    <w:rPr>
      <w:rFonts w:ascii="仿宋_GB2312" w:hAnsi="仿宋_GB2312" w:eastAsia="仿宋_GB2312"/>
      <w:sz w:val="32"/>
      <w:szCs w:val="32"/>
    </w:rPr>
  </w:style>
  <w:style w:type="paragraph" w:styleId="4">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5">
    <w:name w:val="Body Text First Indent"/>
    <w:basedOn w:val="3"/>
    <w:qFormat/>
    <w:uiPriority w:val="0"/>
    <w:pPr>
      <w:ind w:firstLine="664"/>
    </w:pPr>
    <w:rPr>
      <w:rFonts w:ascii="Times New Roman" w:hAnsi="Times New Roman" w:eastAsia="宋体" w:cs="Times New Roman"/>
    </w:rPr>
  </w:style>
  <w:style w:type="table" w:styleId="7">
    <w:name w:val="Table Grid"/>
    <w:basedOn w:val="6"/>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5275</Words>
  <Characters>5460</Characters>
  <Lines>0</Lines>
  <Paragraphs>0</Paragraphs>
  <TotalTime>8</TotalTime>
  <ScaleCrop>false</ScaleCrop>
  <LinksUpToDate>false</LinksUpToDate>
  <CharactersWithSpaces>5784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2025-04-21T15:16:00Z</dcterms:created>
  <dc:creator>尹晓奔</dc:creator>
  <cp:lastModifiedBy>尹晓奔</cp:lastModifiedBy>
  <cp:lastPrinted>2025-04-25T07:52:00Z</cp:lastPrinted>
  <dcterms:modified xsi:type="dcterms:W3CDTF">2025-07-08T23:21:24Z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C5BF046EA7364209B24A42E23D81E3A5_13</vt:lpwstr>
  </property>
  <property fmtid="{D5CDD505-2E9C-101B-9397-08002B2CF9AE}" pid="4" name="KSOTemplateDocerSaveRecord">
    <vt:lpwstr>eyJoZGlkIjoiOWEwNTkwNjg1OGI1MjQyNzczNDA1NGY1NzBlNGUxZWEiLCJ1c2VySWQiOiI1Mzc0NDIwMDMifQ==</vt:lpwstr>
  </property>
</Properties>
</file>