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/>
          <w:b/>
          <w:color w:val="000000"/>
          <w:sz w:val="28"/>
        </w:rPr>
      </w:pPr>
      <w:r>
        <w:rPr>
          <w:rFonts w:hint="eastAsia" w:ascii="宋体"/>
          <w:b/>
          <w:color w:val="000000"/>
          <w:sz w:val="28"/>
        </w:rPr>
        <w:t>评审因素和标准</w:t>
      </w:r>
    </w:p>
    <w:p>
      <w:pPr>
        <w:snapToGrid w:val="0"/>
        <w:ind w:left="2940"/>
        <w:rPr>
          <w:rFonts w:hint="eastAsia" w:ascii="宋体"/>
          <w:color w:val="000000"/>
          <w:sz w:val="20"/>
        </w:rPr>
      </w:pPr>
    </w:p>
    <w:tbl>
      <w:tblPr>
        <w:tblStyle w:val="12"/>
        <w:tblW w:w="987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92"/>
        <w:gridCol w:w="755"/>
        <w:gridCol w:w="69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292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评标因素</w:t>
            </w:r>
          </w:p>
        </w:tc>
        <w:tc>
          <w:tcPr>
            <w:tcW w:w="694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/>
                <w:color w:val="000000"/>
                <w:szCs w:val="21"/>
              </w:rPr>
              <w:t>评标标准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评标因素</w:t>
            </w: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评标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因素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权重</w:t>
            </w:r>
          </w:p>
        </w:tc>
        <w:tc>
          <w:tcPr>
            <w:tcW w:w="694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价格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部分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（30分）</w:t>
            </w: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报价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30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1、满足文件要求且最后报价最低的供应商的价格为基准价，其价格分为满分。其他供应商的价格分统一按照下列公式计算：报价得分= (基准价/最后报价)*价格权值30</w:t>
            </w:r>
          </w:p>
          <w:p>
            <w:pPr>
              <w:snapToGrid w:val="0"/>
              <w:spacing w:line="32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、小组认为供应商的报价明显低于其他通过符合性审查供应商的报价，有可能影响产品质量或者不能诚信履约的，应当要求其在评标现场合理的时间内提供书面说明，必要时提交相关证明材料；供应商不能证明其报价合理性的，小组应当将其作为无效投标处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08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技术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部分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45</w:t>
            </w:r>
            <w:r>
              <w:rPr>
                <w:rFonts w:hint="eastAsia" w:ascii="宋体"/>
                <w:color w:val="000000"/>
                <w:szCs w:val="21"/>
              </w:rPr>
              <w:t>分）</w:t>
            </w: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lang w:eastAsia="zh-CN"/>
              </w:rPr>
              <w:t>平面布置图符合采购需求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12"/>
              </w:tabs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根据采购需求设计平面布置图，满足功能需求及布置原则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。内容完整、方案科学合理得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分,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布置略有欠缺得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分,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布置不合理得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没有提供得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O分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lang w:eastAsia="zh-CN"/>
              </w:rPr>
              <w:t>效果图美观、大方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/>
                <w:color w:val="000000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12"/>
              </w:tabs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根据报价内容和平面布置图出具实际的效果图方案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效果图与投标布置和使用材质、材料相符且效果好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分,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效果及对应略有欠缺得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分,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完全不对应得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没有提供得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O分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现场方案介绍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8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12"/>
              </w:tabs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对现场情况，设计方案思路，效果图设计亮点，施工实施措施，货物品质及供货周期等全面面阐述、介绍；解说思路清晰、合理、符合采购需求计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分，略有欠缺计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分，不合理计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分，未解说得0分。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0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FF0000"/>
                <w:sz w:val="21"/>
                <w:szCs w:val="21"/>
                <w:lang w:val="en-US" w:eastAsia="zh-CN" w:bidi="ar-SA"/>
              </w:rPr>
              <w:t>技术参数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12"/>
              </w:tabs>
              <w:rPr>
                <w:rFonts w:ascii="宋体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完全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满足采购文件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(详见附件2)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货物的</w:t>
            </w:r>
            <w:r>
              <w:rPr>
                <w:rFonts w:hint="eastAsia"/>
                <w:lang w:eastAsia="zh-CN"/>
              </w:rPr>
              <w:t>参数要求，</w:t>
            </w:r>
            <w:r>
              <w:rPr>
                <w:rFonts w:hint="eastAsia"/>
              </w:rPr>
              <w:t>一般技术指标的计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kern w:val="0"/>
                <w:szCs w:val="21"/>
              </w:rPr>
              <w:t>每有一项负偏离扣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Cs w:val="21"/>
              </w:rPr>
              <w:t>分，扣完为止。</w:t>
            </w:r>
            <w:r>
              <w:rPr>
                <w:rFonts w:hint="eastAsia"/>
                <w:b/>
                <w:bCs/>
                <w:kern w:val="0"/>
                <w:szCs w:val="21"/>
              </w:rPr>
              <w:t>注：文件中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货物参数需</w:t>
            </w:r>
            <w:r>
              <w:rPr>
                <w:rFonts w:hint="eastAsia"/>
                <w:b/>
                <w:bCs/>
                <w:kern w:val="0"/>
                <w:szCs w:val="21"/>
              </w:rPr>
              <w:t>提供证明材料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确保所供货物的品牌及参数、产地</w:t>
            </w:r>
            <w:r>
              <w:rPr>
                <w:rFonts w:hint="eastAsia"/>
                <w:b/>
                <w:bCs/>
                <w:kern w:val="0"/>
                <w:szCs w:val="21"/>
              </w:rPr>
              <w:t>，否则视为负偏离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10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明细清单准确性要求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宋体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根据采购需求，投标人自行编制每间房相应的装修工程和家具清单，应合理分配资源；投标报价内应包含的各项内容与设计图应完全匹配的计</w:t>
            </w:r>
            <w:r>
              <w:rPr>
                <w:rFonts w:hint="eastAsia"/>
                <w:lang w:val="en-US" w:eastAsia="zh-CN"/>
              </w:rPr>
              <w:t>8分</w:t>
            </w:r>
            <w:r>
              <w:t>。</w:t>
            </w:r>
            <w:r>
              <w:rPr>
                <w:rFonts w:hint="eastAsia"/>
                <w:lang w:eastAsia="zh-CN"/>
              </w:rPr>
              <w:t>每</w:t>
            </w:r>
            <w:r>
              <w:t>缺</w:t>
            </w:r>
            <w:r>
              <w:rPr>
                <w:rFonts w:hint="eastAsia"/>
                <w:lang w:val="en-US" w:eastAsia="zh-CN"/>
              </w:rPr>
              <w:t>/错</w:t>
            </w:r>
            <w:r>
              <w:t>1项扣</w:t>
            </w:r>
            <w:r>
              <w:rPr>
                <w:rFonts w:hint="eastAsia"/>
                <w:lang w:val="en-US" w:eastAsia="zh-CN"/>
              </w:rPr>
              <w:t>2</w:t>
            </w:r>
            <w:r>
              <w:t>分,</w:t>
            </w:r>
            <w:r>
              <w:rPr>
                <w:rFonts w:hint="eastAsia"/>
                <w:lang w:eastAsia="zh-CN"/>
              </w:rPr>
              <w:t>最低为</w:t>
            </w:r>
            <w:r>
              <w:rPr>
                <w:rFonts w:hint="eastAsia"/>
                <w:lang w:val="en-US" w:eastAsia="zh-CN"/>
              </w:rPr>
              <w:t>0分</w:t>
            </w:r>
            <w: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10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施工方案与技术措施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12"/>
              </w:tabs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对项目总体概况表述是否清晰、完整；部署及措施是否先进、可靠；针对项目的重点、难点分析是否透彻，解决方案是否切实可行；施工平面布置是否有针对性、合理，较好满足施工需要，是否符合安全、文明生产要求。 市政基础设施项目，交通组织规划是否合理、可行，交通组织措施是否得力。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以上内容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有缺漏项、不合理、表述错误的每处扣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分，扣完为止；未提供不计分。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08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商务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部分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 w:ascii="宋体"/>
                <w:color w:val="000000"/>
                <w:szCs w:val="21"/>
              </w:rPr>
              <w:t>分）</w:t>
            </w: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类似</w:t>
            </w:r>
          </w:p>
          <w:p>
            <w:pPr>
              <w:snapToGrid w:val="0"/>
              <w:spacing w:line="320" w:lineRule="exact"/>
              <w:jc w:val="center"/>
            </w:pPr>
            <w:r>
              <w:rPr>
                <w:rFonts w:hint="eastAsia" w:ascii="宋体"/>
                <w:color w:val="000000"/>
                <w:szCs w:val="21"/>
              </w:rPr>
              <w:t>业绩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15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供应商自20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color w:val="000000"/>
                <w:szCs w:val="21"/>
              </w:rPr>
              <w:t>月以来承担过本项目类似业绩，提供一个类似业绩计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color w:val="000000"/>
                <w:szCs w:val="21"/>
              </w:rPr>
              <w:t>分，计满</w:t>
            </w: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 w:ascii="宋体"/>
                <w:color w:val="000000"/>
                <w:szCs w:val="21"/>
              </w:rPr>
              <w:t>分为止。</w:t>
            </w:r>
          </w:p>
          <w:p>
            <w:r>
              <w:rPr>
                <w:rFonts w:hint="eastAsia" w:ascii="宋体"/>
                <w:color w:val="000000"/>
                <w:sz w:val="21"/>
                <w:szCs w:val="21"/>
              </w:rPr>
              <w:t>注：响应文件中须提供业绩证明资料，包括中标（成交）通知书复印件或合同复印件并加盖供应商公章，未提供不计分。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0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  <w:t>标书编制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4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投标文件按招标文件规定的格式、顺序编制，有目录、 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编页码，书面整洁无涂改，没有缺漏项；满足要求计</w:t>
            </w:r>
            <w:r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分，</w:t>
            </w:r>
            <w:r>
              <w:rPr>
                <w:rFonts w:hint="eastAsia"/>
                <w:kern w:val="0"/>
                <w:szCs w:val="21"/>
              </w:rPr>
              <w:t>每有一项</w:t>
            </w:r>
            <w:r>
              <w:rPr>
                <w:rFonts w:hint="eastAsia"/>
                <w:kern w:val="0"/>
                <w:szCs w:val="21"/>
                <w:lang w:eastAsia="zh-CN"/>
              </w:rPr>
              <w:t>不符合</w:t>
            </w:r>
            <w:r>
              <w:rPr>
                <w:rFonts w:hint="eastAsia"/>
                <w:kern w:val="0"/>
                <w:szCs w:val="21"/>
              </w:rPr>
              <w:t>扣</w:t>
            </w:r>
            <w:r>
              <w:rPr>
                <w:rFonts w:hint="eastAsia"/>
                <w:color w:val="FF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Cs w:val="21"/>
              </w:rPr>
              <w:t>分，扣完为止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0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售后服务</w:t>
            </w:r>
          </w:p>
        </w:tc>
        <w:tc>
          <w:tcPr>
            <w:tcW w:w="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6</w:t>
            </w:r>
          </w:p>
        </w:tc>
        <w:tc>
          <w:tcPr>
            <w:tcW w:w="6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/>
                <w:color w:val="000000"/>
                <w:sz w:val="21"/>
                <w:szCs w:val="21"/>
              </w:rPr>
            </w:pPr>
            <w:r>
              <w:rPr>
                <w:szCs w:val="21"/>
              </w:rPr>
              <w:t>根据</w:t>
            </w:r>
            <w:r>
              <w:rPr>
                <w:rFonts w:hint="eastAsia"/>
                <w:szCs w:val="21"/>
              </w:rPr>
              <w:t>供应商</w:t>
            </w:r>
            <w:r>
              <w:rPr>
                <w:szCs w:val="21"/>
              </w:rPr>
              <w:t>针对本项目的售后服务方案：包括</w:t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szCs w:val="21"/>
              </w:rPr>
              <w:t>售后服务响应时间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/>
                <w:szCs w:val="21"/>
                <w:lang w:val="en-US" w:eastAsia="zh-CN"/>
              </w:rPr>
              <w:t>维修完成</w:t>
            </w:r>
            <w:r>
              <w:rPr>
                <w:szCs w:val="21"/>
              </w:rPr>
              <w:t>时间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color w:val="FF0000"/>
                <w:szCs w:val="21"/>
              </w:rPr>
              <w:t>③</w:t>
            </w:r>
            <w:r>
              <w:rPr>
                <w:rFonts w:hint="eastAsia"/>
                <w:szCs w:val="21"/>
              </w:rPr>
              <w:t>服务保障</w:t>
            </w:r>
            <w:r>
              <w:rPr>
                <w:szCs w:val="21"/>
              </w:rPr>
              <w:t>等方案完整、可行性高得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分；有</w:t>
            </w:r>
            <w:r>
              <w:rPr>
                <w:rFonts w:hint="eastAsia"/>
                <w:szCs w:val="21"/>
              </w:rPr>
              <w:t>缺漏项</w:t>
            </w:r>
            <w:r>
              <w:rPr>
                <w:szCs w:val="21"/>
              </w:rPr>
              <w:t>，欠完整、可行性不高的每项扣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分，扣完为止。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合计</w:t>
            </w:r>
          </w:p>
        </w:tc>
        <w:tc>
          <w:tcPr>
            <w:tcW w:w="87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100</w:t>
            </w:r>
          </w:p>
        </w:tc>
      </w:tr>
    </w:tbl>
    <w:p>
      <w:pPr>
        <w:snapToGrid w:val="0"/>
        <w:spacing w:line="276" w:lineRule="auto"/>
        <w:rPr>
          <w:rFonts w:ascii="宋体"/>
          <w:b/>
          <w:color w:val="000000"/>
        </w:rPr>
      </w:pPr>
      <w:r>
        <w:rPr>
          <w:rFonts w:hint="eastAsia" w:ascii="宋体"/>
          <w:b/>
          <w:color w:val="000000"/>
        </w:rPr>
        <w:t>说明：</w:t>
      </w:r>
    </w:p>
    <w:p>
      <w:pPr>
        <w:snapToGrid w:val="0"/>
        <w:spacing w:line="276" w:lineRule="auto"/>
        <w:rPr>
          <w:rFonts w:hint="eastAsia" w:ascii="宋体"/>
          <w:b/>
          <w:color w:val="000000"/>
        </w:rPr>
      </w:pPr>
      <w:r>
        <w:rPr>
          <w:rFonts w:hint="eastAsia" w:ascii="宋体"/>
          <w:b/>
          <w:color w:val="000000"/>
        </w:rPr>
        <w:t>1、上述证明材料在响应文件中提供的复印件均须加盖供应商公章，否则，不予计分；</w:t>
      </w:r>
    </w:p>
    <w:p>
      <w:pPr>
        <w:snapToGrid w:val="0"/>
        <w:spacing w:line="276" w:lineRule="auto"/>
        <w:rPr>
          <w:rFonts w:hint="eastAsia" w:ascii="宋体"/>
          <w:b/>
          <w:color w:val="000000"/>
        </w:rPr>
      </w:pPr>
      <w:r>
        <w:rPr>
          <w:rFonts w:hint="eastAsia" w:ascii="宋体"/>
          <w:b/>
          <w:color w:val="000000"/>
        </w:rPr>
        <w:t>2、评委根据各供应商响应文件的技术方案，结合评标标准自主独立计分；</w:t>
      </w:r>
    </w:p>
    <w:p>
      <w:pPr>
        <w:snapToGrid w:val="0"/>
        <w:spacing w:line="276" w:lineRule="auto"/>
        <w:rPr>
          <w:rFonts w:hint="eastAsia" w:ascii="宋体"/>
          <w:b/>
          <w:color w:val="000000"/>
        </w:rPr>
      </w:pPr>
      <w:r>
        <w:rPr>
          <w:rFonts w:hint="eastAsia" w:ascii="宋体"/>
          <w:b/>
          <w:color w:val="000000"/>
        </w:rPr>
        <w:t>3、计算过程中，算术平均值保留2位小数（百分比亦取2位小数），第三位小数四舍五入；</w:t>
      </w:r>
    </w:p>
    <w:p>
      <w:pPr>
        <w:snapToGrid w:val="0"/>
        <w:spacing w:line="276" w:lineRule="auto"/>
        <w:rPr>
          <w:rFonts w:hint="eastAsia" w:ascii="宋体"/>
          <w:b/>
          <w:color w:val="000000"/>
        </w:rPr>
      </w:pPr>
      <w:r>
        <w:rPr>
          <w:rFonts w:hint="eastAsia" w:ascii="宋体"/>
          <w:b/>
          <w:color w:val="000000"/>
        </w:rPr>
        <w:t>4、以上证明材料如体现了有效期的，须在有效期内方可计分；</w:t>
      </w:r>
    </w:p>
    <w:p>
      <w:pPr>
        <w:snapToGrid w:val="0"/>
        <w:spacing w:line="276" w:lineRule="auto"/>
        <w:rPr>
          <w:rFonts w:hint="eastAsia" w:ascii="宋体"/>
          <w:b/>
          <w:color w:val="000000"/>
        </w:rPr>
      </w:pPr>
      <w:r>
        <w:rPr>
          <w:rFonts w:hint="eastAsia" w:ascii="宋体"/>
          <w:b/>
          <w:color w:val="000000"/>
        </w:rPr>
        <w:t>5、供应商不得提供虚假材料，如评标过程中查有虚假，则作无效标处理，如中标后查有虚假，则取消中标资格，接受相应处罚并承担相应的法律责任。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NmE0NTZmMWY3ZjNmODJkZmM0MTJhN2ExNmE3YWEifQ=="/>
  </w:docVars>
  <w:rsids>
    <w:rsidRoot w:val="13890378"/>
    <w:rsid w:val="13890378"/>
    <w:rsid w:val="2FEB1B4D"/>
    <w:rsid w:val="34E93C63"/>
    <w:rsid w:val="36F80758"/>
    <w:rsid w:val="390A79B1"/>
    <w:rsid w:val="3DA06C6B"/>
    <w:rsid w:val="42F5134F"/>
    <w:rsid w:val="4BC543A7"/>
    <w:rsid w:val="4E7A5BD9"/>
    <w:rsid w:val="535C3161"/>
    <w:rsid w:val="5BB53889"/>
    <w:rsid w:val="67453A07"/>
    <w:rsid w:val="700231D8"/>
    <w:rsid w:val="70DC1921"/>
    <w:rsid w:val="72190FFE"/>
    <w:rsid w:val="787A677A"/>
    <w:rsid w:val="7F84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center"/>
      <w:outlineLvl w:val="0"/>
    </w:pPr>
    <w:rPr>
      <w:rFonts w:ascii="Times New Roman" w:eastAsia="宋体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next w:val="6"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0"/>
    </w:rPr>
  </w:style>
  <w:style w:type="paragraph" w:styleId="6">
    <w:name w:val="Body Text Indent 2"/>
    <w:basedOn w:val="1"/>
    <w:next w:val="1"/>
    <w:qFormat/>
    <w:uiPriority w:val="0"/>
    <w:pPr>
      <w:widowControl w:val="0"/>
      <w:autoSpaceDE/>
      <w:autoSpaceDN/>
      <w:spacing w:before="0" w:after="120" w:line="480" w:lineRule="auto"/>
      <w:ind w:left="420" w:firstLine="0"/>
      <w:jc w:val="both"/>
    </w:pPr>
    <w:rPr>
      <w:rFonts w:ascii="Times New Roman" w:eastAsia="宋体"/>
      <w:sz w:val="20"/>
    </w:rPr>
  </w:style>
  <w:style w:type="paragraph" w:styleId="7">
    <w:name w:val="toc 2"/>
    <w:basedOn w:val="2"/>
    <w:next w:val="1"/>
    <w:qFormat/>
    <w:uiPriority w:val="0"/>
    <w:pPr>
      <w:wordWrap w:val="0"/>
      <w:jc w:val="both"/>
    </w:pPr>
    <w:rPr>
      <w:sz w:val="21"/>
      <w:lang w:val="en-US" w:eastAsia="zh-CN" w:bidi="ar-SA"/>
    </w:rPr>
  </w:style>
  <w:style w:type="paragraph" w:styleId="8">
    <w:name w:val="Body Text First Indent 2"/>
    <w:basedOn w:val="5"/>
    <w:next w:val="9"/>
    <w:qFormat/>
    <w:uiPriority w:val="0"/>
    <w:pPr>
      <w:widowControl w:val="0"/>
      <w:autoSpaceDE w:val="0"/>
      <w:autoSpaceDN w:val="0"/>
      <w:spacing w:after="120"/>
      <w:ind w:left="420" w:firstLine="420"/>
    </w:pPr>
    <w:rPr>
      <w:lang w:val="en-US" w:eastAsia="zh-CN" w:bidi="ar-SA"/>
    </w:rPr>
  </w:style>
  <w:style w:type="paragraph" w:customStyle="1" w:styleId="9">
    <w:name w:val="CM16"/>
    <w:next w:val="10"/>
    <w:qFormat/>
    <w:uiPriority w:val="0"/>
    <w:pPr>
      <w:widowControl w:val="0"/>
      <w:autoSpaceDE w:val="0"/>
      <w:autoSpaceDN w:val="0"/>
      <w:spacing w:after="208"/>
      <w:ind w:firstLine="5632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sleftnavsub"/>
    <w:basedOn w:val="2"/>
    <w:next w:val="11"/>
    <w:qFormat/>
    <w:uiPriority w:val="0"/>
    <w:pPr>
      <w:widowControl/>
      <w:autoSpaceDE/>
      <w:autoSpaceDN/>
      <w:spacing w:before="280" w:after="280" w:line="240" w:lineRule="atLeast"/>
      <w:ind w:left="0" w:firstLine="5120"/>
    </w:pPr>
  </w:style>
  <w:style w:type="paragraph" w:customStyle="1" w:styleId="11">
    <w:name w:val="正文文本缩进1"/>
    <w:basedOn w:val="2"/>
    <w:next w:val="7"/>
    <w:qFormat/>
    <w:uiPriority w:val="0"/>
    <w:pPr>
      <w:widowControl/>
      <w:autoSpaceDE/>
      <w:autoSpaceDN/>
      <w:spacing w:before="0" w:after="0" w:line="240" w:lineRule="auto"/>
      <w:ind w:left="360" w:firstLine="2664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2023-12-05T12:12:00Z</dcterms:created>
  <dc:creator>志存高远</dc:creator>
  <cp:lastModifiedBy>Administrator</cp:lastModifiedBy>
  <cp:lastPrinted>2023-12-15T09:36:48Z</cp:lastPrinted>
  <dcterms:modified xsi:type="dcterms:W3CDTF">2023-12-15T09:37:26Z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700F9DE195FA45C7BF2F41C4EFF3CC31_13</vt:lpwstr>
  </property>
</Properties>
</file>