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0"/>
        </w:tabs>
        <w:adjustRightInd w:val="0"/>
        <w:snapToGrid w:val="0"/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 xml:space="preserve">附件1：   </w:t>
      </w:r>
      <w:r>
        <w:rPr>
          <w:rFonts w:hint="eastAsia" w:ascii="宋体" w:hAnsi="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 w:bidi="ar"/>
        </w:rPr>
        <w:t>心教中心翻新改造项目采购需求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项目名称：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心教中心翻新改造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2" w:firstLineChars="200"/>
        <w:textAlignment w:val="auto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项目概述：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60" w:firstLineChars="200"/>
        <w:textAlignment w:val="auto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本项目为娄底职业技术学院学生工作处心教中心翻新改造项目，内容为采购VR自主调控放松系统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、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多维按摩自助减压放松系统、智能打击宣泄仪、团体辅导桌椅、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多功能折叠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桌椅、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会议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一体机等设施，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重新铺设宣泄地板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。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项目预算及控制价：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120000元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采购方式：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电子卖场竞价</w:t>
      </w:r>
    </w:p>
    <w:p>
      <w:pPr>
        <w:numPr>
          <w:ilvl w:val="0"/>
          <w:numId w:val="1"/>
        </w:num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投标人基本资质要求：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1、一般资质条件：应当符合《政府采购法》第二十二条第一款的规定，即：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（1）具有独立承担民事责任的能力；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（2）具有良好的商业信誉和健全的财务会计制度；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（3）具有履行合同所必需的设备和专业技术能力；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（4）有依法缴纳税收和社会保障资金的良好记录；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（5）参加政府采购活动前三年内，在经营活动中没有重大违法记录；</w:t>
      </w: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（6）法律、行政法规规定的其他条件；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after="78" w:afterLines="25" w:line="520" w:lineRule="exact"/>
        <w:ind w:firstLine="560" w:firstLineChars="200"/>
        <w:jc w:val="left"/>
        <w:textAlignment w:val="center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根据《湖南省财政厅关于政府采购促进中小企业发展有关措施的通知》，以上资质条件中的（2）（3）（4）(5)证明文件可以以承诺方式递交，如果是承诺方式，请提供《湖南省政府采购供应商资质承诺函》。</w:t>
      </w:r>
    </w:p>
    <w:p>
      <w:pPr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2、供应商特定资格条件：投标人必须具备营业执照，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营业执照经营范围包含有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教学专用仪器销售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、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教学用模型及教具销售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相关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内容，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在近2年有其他高校心理健康教育中心设施设备提供添置的经验，且处于有效期内。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520" w:lineRule="exact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3、投标人提供企业有效的法人营业执照副本、扫描件。</w:t>
      </w:r>
    </w:p>
    <w:p>
      <w:pPr>
        <w:pStyle w:val="3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4.投标人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为湖南省政府采购网电子卖场注册商家，在该平台可正常开展业务无不良记录。</w:t>
      </w:r>
    </w:p>
    <w:p>
      <w:pPr>
        <w:pStyle w:val="3"/>
        <w:ind w:firstLine="560" w:firstLineChars="200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.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为保证售后服务，供应商或生产厂家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须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具有有效期内的包含心理功能测试设备的五星级售后服务认证证书。</w:t>
      </w:r>
    </w:p>
    <w:p>
      <w:pPr>
        <w:pStyle w:val="3"/>
        <w:ind w:firstLine="560" w:firstLineChars="200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6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.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为保证产品质量，设备生产厂家具备ISO9001质量体系认证、ISO14001环境管理体系认证、ISO45001职业健康安全管理体系认证证书（认证范围含：心理功能测试设备的设计生产销售）。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五、采购基本要求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1、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基本要求：</w:t>
      </w:r>
    </w:p>
    <w:p>
      <w:pPr>
        <w:pStyle w:val="3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1.1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心理放松室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配备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购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买VR自主调控放松系统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、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多维按摩自助减压放松系统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各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一套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，利用最新技术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引导体验者积极主动地开展心理训练，学会自主有效的自助式放松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可以辅助改善情绪、激发感情、振奋精神、消除紧张焦虑、忧郁等不良心理状况。</w:t>
      </w:r>
    </w:p>
    <w:p>
      <w:pPr>
        <w:pStyle w:val="3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心理宣泄室配备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购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买智能打击宣泄仪一套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，重新铺设宣泄地板，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有助于提升情感认知能力、激发求知欲望、战胜困惑、培养顽强的生活态度和心理韧性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，使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体验者释放不良情绪，保持身心的健康,缓解痛苦、压抑、恐惧等强烈情绪，减轻压力，放松身心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。</w:t>
      </w:r>
    </w:p>
    <w:p>
      <w:pPr>
        <w:pStyle w:val="3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团体活动室配备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购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买团体辅导桌椅四套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，方便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开展团体辅导、团体心理讲座、心理沙龙等活动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促进团体体验者的互动交流与思考，帮助个体获得成长提升。</w:t>
      </w:r>
    </w:p>
    <w:p>
      <w:pPr>
        <w:pStyle w:val="3"/>
        <w:ind w:firstLine="560" w:firstLineChars="200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4、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墙面和各功能室铁门改造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墙面选用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明亮通透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暖色色系墙纸，功能室选用简洁温馨设计风格防盗门，搭配文化墙，有效缓解来访者紧张不安等情绪，打造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温馨愉悦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Hans" w:bidi="ar-SA"/>
        </w:rPr>
        <w:t>的体验</w:t>
      </w: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2、质量要求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投标人应保证提供的合同设备是设备生产厂商原造的，全新、未使用过的正规产品，并符合本项目招标文件规定的数量、质量、性能和规格的要求。投标人应保证其货物经正确安装，正常运转和保养在其使用寿命内应具有满意的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3、验货要求：投标人及时递交送货验收书面报告，采购方接到书面申请报告一周内组织验收，按国家有关产品具体使用要求及实际完成情况进行验收。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4、报价要求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总价不能超过项目预算控制价，分项报价不能超过分项控制价，并注明品牌、产地、型号和规格。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5、培训要求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 xml:space="preserve">  在终验前完成以下培训：设备的使用说明、注意事项以及保养方法；中标人到使用单位对所有设备进行培训，直至采购方学会为止。</w:t>
      </w:r>
    </w:p>
    <w:p>
      <w:pPr>
        <w:pStyle w:val="4"/>
        <w:spacing w:line="520" w:lineRule="exact"/>
        <w:ind w:firstLine="562" w:firstLineChars="200"/>
        <w:rPr>
          <w:rFonts w:hint="eastAsia"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六、</w:t>
      </w:r>
      <w:r>
        <w:rPr>
          <w:rFonts w:hint="eastAsia" w:cs="宋体"/>
          <w:b/>
          <w:bCs/>
          <w:color w:val="auto"/>
          <w:sz w:val="28"/>
          <w:szCs w:val="28"/>
          <w:lang w:val="en-US" w:eastAsia="zh-CN"/>
        </w:rPr>
        <w:t>货品</w:t>
      </w:r>
      <w:r>
        <w:rPr>
          <w:rFonts w:hint="eastAsia" w:cs="宋体"/>
          <w:b/>
          <w:bCs/>
          <w:sz w:val="28"/>
          <w:szCs w:val="28"/>
        </w:rPr>
        <w:t>采购清单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default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详见附件2《采购清单》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七、交货时间、地点及方式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1.交货时间：中标人须于合同签订后7个工作日内完成项目的全部内容。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2.交货地点：娄底职业技术学院综合校区老培训楼202。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3.交货方式：中标人完成供货后须进行合格验收，中标方承担验收合格前的一切风险、责任和费用。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八、付款方式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1、本项目设履约保证陆仟元整，签订合同前交清，验收合格后一个月内无息退还。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2、项目验收合格后如无质量问题一个月内一次性付清</w:t>
      </w: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</w:rPr>
        <w:t>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九、售后服务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自通过验收之日起，项目整体质保5年。质保期内软件终身免费维护升级，所有软件如有问题要求即时响应，所有硬件如有任何质量（人为破坏或自然灾害等不可抗力除外）要求在48小时内免费上门更换；硬件质保期满以后，如果要更换只收成本费。</w:t>
      </w:r>
    </w:p>
    <w:p>
      <w:pPr>
        <w:spacing w:line="52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十、其它</w:t>
      </w:r>
    </w:p>
    <w:p>
      <w:pPr>
        <w:ind w:firstLine="600"/>
        <w:rPr>
          <w:rFonts w:hint="default" w:ascii="仿宋_GB2312" w:hAnsi="Calibri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Arial" w:eastAsia="仿宋_GB2312" w:cs="Times New Roman"/>
          <w:b w:val="0"/>
          <w:bCs w:val="0"/>
          <w:color w:val="auto"/>
          <w:kern w:val="2"/>
          <w:sz w:val="28"/>
          <w:szCs w:val="28"/>
          <w:lang w:val="en-US" w:eastAsia="zh-CN" w:bidi="ar-SA"/>
        </w:rPr>
        <w:t>技术参数详见附件，所有报价为含税价，包括货物运输及税费等一切费用。如有疑问咨询联系人：曾老师13187046403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BB6C52"/>
    <w:multiLevelType w:val="singleLevel"/>
    <w:tmpl w:val="0EBB6C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MzkwOGM2ZWJmMmYzNGRhZTUyMTJiNzJkYzY1NmYifQ=="/>
  </w:docVars>
  <w:rsids>
    <w:rsidRoot w:val="19357E3A"/>
    <w:rsid w:val="10762A3A"/>
    <w:rsid w:val="19357E3A"/>
    <w:rsid w:val="253C11F1"/>
    <w:rsid w:val="72B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qFormat/>
    <w:uiPriority w:val="1"/>
    <w:pPr>
      <w:spacing w:before="46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pacing w:line="460" w:lineRule="exact"/>
    </w:pPr>
    <w:rPr>
      <w:rFonts w:ascii="宋体" w:hAnsi="宋体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2023-11-20T03:47:00Z</dcterms:created>
  <dc:creator>曾晓东</dc:creator>
  <cp:lastModifiedBy>曾晓东</cp:lastModifiedBy>
  <dcterms:modified xsi:type="dcterms:W3CDTF">2023-11-20T09:31:06Z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BC4AC68806FD46C2A7B4F37CCEEB8E73_11</vt:lpwstr>
  </property>
</Properties>
</file>